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15" w:rsidRPr="002C3E4E" w:rsidRDefault="00182E4B" w:rsidP="00A856AA">
      <w:pPr>
        <w:spacing w:after="120" w:line="240" w:lineRule="auto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proofErr w:type="spellStart"/>
      <w:r w:rsidRPr="002C3E4E">
        <w:rPr>
          <w:rFonts w:asciiTheme="majorHAnsi" w:hAnsiTheme="majorHAnsi"/>
          <w:b/>
          <w:color w:val="365F91" w:themeColor="accent1" w:themeShade="BF"/>
          <w:sz w:val="32"/>
          <w:szCs w:val="32"/>
        </w:rPr>
        <w:t>Erőműfejlesztési</w:t>
      </w:r>
      <w:proofErr w:type="spellEnd"/>
      <w:r w:rsidRPr="002C3E4E">
        <w:rPr>
          <w:rFonts w:asciiTheme="majorHAnsi" w:hAnsiTheme="majorHAnsi"/>
          <w:b/>
          <w:color w:val="365F91" w:themeColor="accent1" w:themeShade="BF"/>
          <w:sz w:val="32"/>
          <w:szCs w:val="32"/>
        </w:rPr>
        <w:t xml:space="preserve"> Cselekvési Terv (</w:t>
      </w:r>
      <w:proofErr w:type="spellStart"/>
      <w:r w:rsidRPr="002C3E4E">
        <w:rPr>
          <w:rFonts w:asciiTheme="majorHAnsi" w:hAnsiTheme="majorHAnsi"/>
          <w:b/>
          <w:color w:val="365F91" w:themeColor="accent1" w:themeShade="BF"/>
          <w:sz w:val="32"/>
          <w:szCs w:val="32"/>
        </w:rPr>
        <w:t>EFCsT</w:t>
      </w:r>
      <w:proofErr w:type="spellEnd"/>
      <w:r w:rsidRPr="002C3E4E">
        <w:rPr>
          <w:rFonts w:asciiTheme="majorHAnsi" w:hAnsiTheme="majorHAnsi"/>
          <w:b/>
          <w:color w:val="365F91" w:themeColor="accent1" w:themeShade="BF"/>
          <w:sz w:val="32"/>
          <w:szCs w:val="32"/>
        </w:rPr>
        <w:t>)</w:t>
      </w:r>
    </w:p>
    <w:p w:rsidR="00182E4B" w:rsidRPr="002C3E4E" w:rsidRDefault="00182E4B" w:rsidP="00A856AA">
      <w:pPr>
        <w:spacing w:after="120" w:line="240" w:lineRule="auto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proofErr w:type="gramStart"/>
      <w:r w:rsidRPr="002C3E4E">
        <w:rPr>
          <w:rFonts w:asciiTheme="majorHAnsi" w:hAnsiTheme="majorHAnsi"/>
          <w:b/>
          <w:color w:val="365F91" w:themeColor="accent1" w:themeShade="BF"/>
          <w:sz w:val="32"/>
          <w:szCs w:val="32"/>
        </w:rPr>
        <w:t>koncepció</w:t>
      </w:r>
      <w:proofErr w:type="gramEnd"/>
    </w:p>
    <w:p w:rsidR="00A0303F" w:rsidRPr="00CB2D74" w:rsidRDefault="00074447" w:rsidP="00A856AA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FELHATALMAZÁS</w:t>
      </w:r>
    </w:p>
    <w:p w:rsidR="00BD6455" w:rsidRPr="00A0303F" w:rsidRDefault="00A0303F" w:rsidP="00A856A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15">
        <w:rPr>
          <w:rFonts w:ascii="Times New Roman" w:hAnsi="Times New Roman" w:cs="Times New Roman"/>
          <w:sz w:val="24"/>
          <w:szCs w:val="24"/>
        </w:rPr>
        <w:t xml:space="preserve">A Nemzeti Energiastratégia végrehajtásáról szóló Országgyűlési határozat alapján </w:t>
      </w:r>
      <w:r>
        <w:rPr>
          <w:rFonts w:ascii="Times New Roman" w:hAnsi="Times New Roman" w:cs="Times New Roman"/>
          <w:sz w:val="24"/>
          <w:szCs w:val="24"/>
        </w:rPr>
        <w:t xml:space="preserve">(77/2011 (X. 14.) többek között </w:t>
      </w:r>
      <w:proofErr w:type="spellStart"/>
      <w:r w:rsidRPr="00606E15">
        <w:rPr>
          <w:rFonts w:ascii="Times New Roman" w:hAnsi="Times New Roman" w:cs="Times New Roman"/>
          <w:sz w:val="24"/>
          <w:szCs w:val="24"/>
        </w:rPr>
        <w:t>Erőműfejle</w:t>
      </w:r>
      <w:r w:rsidR="003E7106">
        <w:rPr>
          <w:rFonts w:ascii="Times New Roman" w:hAnsi="Times New Roman" w:cs="Times New Roman"/>
          <w:sz w:val="24"/>
          <w:szCs w:val="24"/>
        </w:rPr>
        <w:t>sztési</w:t>
      </w:r>
      <w:proofErr w:type="spellEnd"/>
      <w:r w:rsidR="003E7106">
        <w:rPr>
          <w:rFonts w:ascii="Times New Roman" w:hAnsi="Times New Roman" w:cs="Times New Roman"/>
          <w:sz w:val="24"/>
          <w:szCs w:val="24"/>
        </w:rPr>
        <w:t xml:space="preserve"> Cselekvési Tervet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6E15">
        <w:rPr>
          <w:rFonts w:ascii="Times New Roman" w:hAnsi="Times New Roman" w:cs="Times New Roman"/>
          <w:sz w:val="24"/>
          <w:szCs w:val="24"/>
        </w:rPr>
        <w:t>Távhőfejleszt</w:t>
      </w:r>
      <w:r w:rsidR="003E7106">
        <w:rPr>
          <w:rFonts w:ascii="Times New Roman" w:hAnsi="Times New Roman" w:cs="Times New Roman"/>
          <w:sz w:val="24"/>
          <w:szCs w:val="24"/>
        </w:rPr>
        <w:t>ési Cselekvési Tervet</w:t>
      </w:r>
      <w:r>
        <w:rPr>
          <w:rFonts w:ascii="Times New Roman" w:hAnsi="Times New Roman" w:cs="Times New Roman"/>
          <w:sz w:val="24"/>
          <w:szCs w:val="24"/>
        </w:rPr>
        <w:t xml:space="preserve"> és Ásvány</w:t>
      </w:r>
      <w:r w:rsidR="003E7106">
        <w:rPr>
          <w:rFonts w:ascii="Times New Roman" w:hAnsi="Times New Roman" w:cs="Times New Roman"/>
          <w:sz w:val="24"/>
          <w:szCs w:val="24"/>
        </w:rPr>
        <w:t>vagyon G</w:t>
      </w:r>
      <w:r w:rsidRPr="00A0303F">
        <w:rPr>
          <w:rFonts w:ascii="Times New Roman" w:hAnsi="Times New Roman" w:cs="Times New Roman"/>
          <w:sz w:val="24"/>
          <w:szCs w:val="24"/>
        </w:rPr>
        <w:t>azdálkodási és Hasznosítási Cselekvési Terv</w:t>
      </w:r>
      <w:r>
        <w:rPr>
          <w:rFonts w:ascii="Times New Roman" w:hAnsi="Times New Roman" w:cs="Times New Roman"/>
          <w:sz w:val="24"/>
          <w:szCs w:val="24"/>
        </w:rPr>
        <w:t>et kell készíteni. A cselekvési tervek támogatás esetén Kormányhatározattá válnak. A cselekvési tervek szakmai, közigazgatási és társadalmi egyeztetésekre alkalmas munka-anyagainak</w:t>
      </w:r>
      <w:r w:rsidRPr="00606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elkészítési </w:t>
      </w:r>
      <w:r w:rsidRPr="00606E15">
        <w:rPr>
          <w:rFonts w:ascii="Times New Roman" w:hAnsi="Times New Roman" w:cs="Times New Roman"/>
          <w:sz w:val="24"/>
          <w:szCs w:val="24"/>
        </w:rPr>
        <w:t>határideje 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6E15">
        <w:rPr>
          <w:rFonts w:ascii="Times New Roman" w:hAnsi="Times New Roman" w:cs="Times New Roman"/>
          <w:sz w:val="24"/>
          <w:szCs w:val="24"/>
        </w:rPr>
        <w:t xml:space="preserve"> június 30.</w:t>
      </w:r>
      <w:r>
        <w:rPr>
          <w:rFonts w:ascii="Times New Roman" w:hAnsi="Times New Roman" w:cs="Times New Roman"/>
          <w:sz w:val="24"/>
          <w:szCs w:val="24"/>
        </w:rPr>
        <w:t xml:space="preserve"> A Kormány általi elfogadás után következik</w:t>
      </w:r>
      <w:r w:rsidR="00BD6455" w:rsidRPr="00916606">
        <w:rPr>
          <w:rFonts w:ascii="Times New Roman" w:eastAsia="Calibri" w:hAnsi="Times New Roman" w:cs="Times New Roman"/>
          <w:sz w:val="24"/>
          <w:szCs w:val="24"/>
        </w:rPr>
        <w:t xml:space="preserve"> a jogszabályi környezet stratégiai célokhoz történő igazítása, </w:t>
      </w:r>
      <w:r w:rsidR="00BD6455">
        <w:rPr>
          <w:rFonts w:ascii="Times New Roman" w:eastAsia="Calibri" w:hAnsi="Times New Roman" w:cs="Times New Roman"/>
          <w:sz w:val="24"/>
          <w:szCs w:val="24"/>
        </w:rPr>
        <w:t>mely alapját jelenti</w:t>
      </w:r>
      <w:r w:rsidR="00BD6455" w:rsidRPr="00916606">
        <w:rPr>
          <w:rFonts w:ascii="Times New Roman" w:eastAsia="Calibri" w:hAnsi="Times New Roman" w:cs="Times New Roman"/>
          <w:sz w:val="24"/>
          <w:szCs w:val="24"/>
        </w:rPr>
        <w:t xml:space="preserve"> majd a támogatási, pályázati és pénzügyi rendszerek</w:t>
      </w:r>
      <w:r>
        <w:rPr>
          <w:rFonts w:ascii="Times New Roman" w:hAnsi="Times New Roman"/>
          <w:sz w:val="24"/>
          <w:szCs w:val="24"/>
        </w:rPr>
        <w:t xml:space="preserve"> kialakításának</w:t>
      </w:r>
      <w:r w:rsidR="00BD6455" w:rsidRPr="009166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6455" w:rsidRDefault="00BD6455" w:rsidP="00A856A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303F" w:rsidRPr="00A0303F" w:rsidRDefault="00A0303F" w:rsidP="00A856AA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3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CÉL</w:t>
      </w:r>
    </w:p>
    <w:p w:rsidR="00062A3B" w:rsidRDefault="006B5AD5" w:rsidP="00A856AA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2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</w:t>
      </w:r>
      <w:proofErr w:type="spellStart"/>
      <w:r w:rsidRPr="00062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Erőműfejlesztési</w:t>
      </w:r>
      <w:proofErr w:type="spellEnd"/>
      <w:r w:rsidRPr="00062A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Cselekvési Terv cél</w:t>
      </w:r>
      <w:r w:rsidR="00E26D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rendszere</w:t>
      </w:r>
      <w:r w:rsidR="00AE16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B3BA2" w:rsidRPr="002B3BA2" w:rsidRDefault="002D1AAE" w:rsidP="00A856AA">
      <w:pPr>
        <w:pStyle w:val="Listaszerbekezds"/>
        <w:numPr>
          <w:ilvl w:val="0"/>
          <w:numId w:val="7"/>
        </w:numPr>
        <w:spacing w:after="120"/>
        <w:contextualSpacing w:val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A hosszú távú gondolkodás részeként </w:t>
      </w:r>
      <w:r w:rsidR="006B5AD5" w:rsidRPr="002B3BA2">
        <w:rPr>
          <w:b/>
          <w:color w:val="000000" w:themeColor="text1"/>
        </w:rPr>
        <w:t xml:space="preserve">fel kívánja rajzolni </w:t>
      </w:r>
      <w:r w:rsidR="002B3BA2">
        <w:rPr>
          <w:b/>
          <w:color w:val="000000" w:themeColor="text1"/>
        </w:rPr>
        <w:t>azokat az alternatív</w:t>
      </w:r>
      <w:r w:rsidR="006B5AD5" w:rsidRPr="002B3BA2">
        <w:rPr>
          <w:b/>
          <w:color w:val="000000" w:themeColor="text1"/>
        </w:rPr>
        <w:t xml:space="preserve"> kapacitásfejlesztési pályá</w:t>
      </w:r>
      <w:r w:rsidR="002B3BA2">
        <w:rPr>
          <w:b/>
          <w:color w:val="000000" w:themeColor="text1"/>
        </w:rPr>
        <w:t>ka</w:t>
      </w:r>
      <w:r w:rsidR="006B5AD5" w:rsidRPr="002B3BA2">
        <w:rPr>
          <w:b/>
          <w:color w:val="000000" w:themeColor="text1"/>
        </w:rPr>
        <w:t xml:space="preserve">t, amellyel megvalósítható lesz a </w:t>
      </w:r>
      <w:r w:rsidR="00BC23BE" w:rsidRPr="002B3BA2">
        <w:rPr>
          <w:b/>
          <w:color w:val="000000" w:themeColor="text1"/>
        </w:rPr>
        <w:t>N</w:t>
      </w:r>
      <w:r w:rsidR="006B5AD5" w:rsidRPr="002B3BA2">
        <w:rPr>
          <w:b/>
          <w:color w:val="000000" w:themeColor="text1"/>
        </w:rPr>
        <w:t xml:space="preserve">emzeti </w:t>
      </w:r>
      <w:r w:rsidR="00BC23BE" w:rsidRPr="002B3BA2">
        <w:rPr>
          <w:b/>
          <w:color w:val="000000" w:themeColor="text1"/>
        </w:rPr>
        <w:t xml:space="preserve">Energiastratégia </w:t>
      </w:r>
      <w:r w:rsidR="002B3BA2">
        <w:rPr>
          <w:b/>
          <w:color w:val="000000" w:themeColor="text1"/>
        </w:rPr>
        <w:t>által preferált</w:t>
      </w:r>
      <w:r w:rsidR="00BC23BE" w:rsidRPr="002B3BA2">
        <w:rPr>
          <w:b/>
          <w:color w:val="000000" w:themeColor="text1"/>
        </w:rPr>
        <w:t xml:space="preserve"> „</w:t>
      </w:r>
      <w:proofErr w:type="spellStart"/>
      <w:r w:rsidR="00BC23BE" w:rsidRPr="002B3BA2">
        <w:rPr>
          <w:b/>
          <w:color w:val="000000" w:themeColor="text1"/>
        </w:rPr>
        <w:t>atom-szén-zöld</w:t>
      </w:r>
      <w:proofErr w:type="spellEnd"/>
      <w:r w:rsidR="00BC23BE" w:rsidRPr="002B3BA2">
        <w:rPr>
          <w:b/>
          <w:color w:val="000000" w:themeColor="text1"/>
        </w:rPr>
        <w:t>” forgatókönyv</w:t>
      </w:r>
      <w:r w:rsidR="002B3BA2">
        <w:rPr>
          <w:b/>
          <w:color w:val="000000" w:themeColor="text1"/>
        </w:rPr>
        <w:t>. Az alternatív változatokat az alábbi peremfeltételek alkalmazásával választottuk ki:</w:t>
      </w:r>
    </w:p>
    <w:p w:rsidR="002B3BA2" w:rsidRDefault="002B3BA2" w:rsidP="00A856AA">
      <w:pPr>
        <w:pStyle w:val="Listaszerbekezds"/>
        <w:numPr>
          <w:ilvl w:val="1"/>
          <w:numId w:val="7"/>
        </w:numPr>
        <w:spacing w:after="120"/>
        <w:contextualSpacing w:val="0"/>
        <w:jc w:val="both"/>
        <w:rPr>
          <w:color w:val="000000" w:themeColor="text1"/>
        </w:rPr>
      </w:pPr>
      <w:proofErr w:type="spellStart"/>
      <w:r w:rsidRPr="002B3BA2">
        <w:rPr>
          <w:color w:val="000000" w:themeColor="text1"/>
          <w:u w:val="single"/>
        </w:rPr>
        <w:t>Dekarbonizációs</w:t>
      </w:r>
      <w:proofErr w:type="spellEnd"/>
      <w:r w:rsidRPr="002B3BA2">
        <w:rPr>
          <w:color w:val="000000" w:themeColor="text1"/>
          <w:u w:val="single"/>
        </w:rPr>
        <w:t xml:space="preserve"> feltétel:</w:t>
      </w:r>
      <w:r w:rsidRPr="002B3BA2">
        <w:rPr>
          <w:color w:val="000000" w:themeColor="text1"/>
        </w:rPr>
        <w:t xml:space="preserve"> radikális kibocsátás csökkentés (1990-es báz</w:t>
      </w:r>
      <w:r w:rsidR="00E116C0">
        <w:rPr>
          <w:color w:val="000000" w:themeColor="text1"/>
        </w:rPr>
        <w:t>is évhez képest 85%-os) az energia szektorban</w:t>
      </w:r>
      <w:r w:rsidRPr="002B3BA2">
        <w:rPr>
          <w:color w:val="000000" w:themeColor="text1"/>
        </w:rPr>
        <w:t xml:space="preserve">. </w:t>
      </w:r>
      <w:r>
        <w:rPr>
          <w:color w:val="000000" w:themeColor="text1"/>
        </w:rPr>
        <w:t>A</w:t>
      </w:r>
      <w:r w:rsidRPr="002B3BA2">
        <w:rPr>
          <w:color w:val="000000" w:themeColor="text1"/>
        </w:rPr>
        <w:t xml:space="preserve"> készülő Hazai </w:t>
      </w:r>
      <w:proofErr w:type="spellStart"/>
      <w:r w:rsidRPr="002B3BA2">
        <w:rPr>
          <w:color w:val="000000" w:themeColor="text1"/>
        </w:rPr>
        <w:t>Dekarbonizációs</w:t>
      </w:r>
      <w:proofErr w:type="spellEnd"/>
      <w:r w:rsidRPr="002B3BA2">
        <w:rPr>
          <w:color w:val="000000" w:themeColor="text1"/>
        </w:rPr>
        <w:t xml:space="preserve"> Útiterv figyelembe vételével válasz</w:t>
      </w:r>
      <w:r>
        <w:rPr>
          <w:color w:val="000000" w:themeColor="text1"/>
        </w:rPr>
        <w:t xml:space="preserve">t kíván adni </w:t>
      </w:r>
      <w:r w:rsidRPr="002B3BA2">
        <w:rPr>
          <w:color w:val="000000" w:themeColor="text1"/>
        </w:rPr>
        <w:t xml:space="preserve">arra, hogy Nemzeti Energiastratégia elvei és az </w:t>
      </w:r>
      <w:proofErr w:type="spellStart"/>
      <w:r w:rsidRPr="002B3BA2">
        <w:rPr>
          <w:color w:val="000000" w:themeColor="text1"/>
        </w:rPr>
        <w:t>atom-szén-zöld</w:t>
      </w:r>
      <w:proofErr w:type="spellEnd"/>
      <w:r w:rsidRPr="002B3BA2">
        <w:rPr>
          <w:color w:val="000000" w:themeColor="text1"/>
        </w:rPr>
        <w:t xml:space="preserve"> forgatókönyv továbbgondolásával, hogy teljesíthető a villamosenergia-szektor </w:t>
      </w:r>
      <w:proofErr w:type="spellStart"/>
      <w:r w:rsidRPr="002B3BA2">
        <w:rPr>
          <w:color w:val="000000" w:themeColor="text1"/>
        </w:rPr>
        <w:t>dekarbonizációja</w:t>
      </w:r>
      <w:proofErr w:type="spellEnd"/>
      <w:r w:rsidRPr="002B3BA2">
        <w:rPr>
          <w:color w:val="000000" w:themeColor="text1"/>
        </w:rPr>
        <w:t xml:space="preserve"> 2050-re az EU 2050-ig szóló Energiaügyi Ütemtervével összhangban. </w:t>
      </w:r>
    </w:p>
    <w:p w:rsidR="002B3BA2" w:rsidRDefault="002B3BA2" w:rsidP="00A856AA">
      <w:pPr>
        <w:pStyle w:val="Listaszerbekezds"/>
        <w:numPr>
          <w:ilvl w:val="1"/>
          <w:numId w:val="7"/>
        </w:numPr>
        <w:spacing w:after="120"/>
        <w:contextualSpacing w:val="0"/>
        <w:jc w:val="both"/>
        <w:rPr>
          <w:color w:val="000000" w:themeColor="text1"/>
        </w:rPr>
      </w:pPr>
      <w:r w:rsidRPr="002B3BA2">
        <w:rPr>
          <w:color w:val="000000" w:themeColor="text1"/>
          <w:u w:val="single"/>
        </w:rPr>
        <w:t>Legkisebb költség feltétel:</w:t>
      </w:r>
      <w:r>
        <w:rPr>
          <w:color w:val="000000" w:themeColor="text1"/>
        </w:rPr>
        <w:t xml:space="preserve"> a gazdaság és társadalom számára a legkisebb költséget jelentő változat megvalósítása, figyelembe véve a járulékos hasznokat és </w:t>
      </w:r>
      <w:proofErr w:type="spellStart"/>
      <w:r>
        <w:rPr>
          <w:color w:val="000000" w:themeColor="text1"/>
        </w:rPr>
        <w:t>externáliákat</w:t>
      </w:r>
      <w:proofErr w:type="spellEnd"/>
      <w:r>
        <w:rPr>
          <w:color w:val="000000" w:themeColor="text1"/>
        </w:rPr>
        <w:t xml:space="preserve"> is.</w:t>
      </w:r>
    </w:p>
    <w:p w:rsidR="002B3BA2" w:rsidRPr="002B3BA2" w:rsidRDefault="002B3BA2" w:rsidP="00A856AA">
      <w:pPr>
        <w:pStyle w:val="Listaszerbekezds"/>
        <w:numPr>
          <w:ilvl w:val="1"/>
          <w:numId w:val="7"/>
        </w:numPr>
        <w:spacing w:after="120"/>
        <w:contextualSpacing w:val="0"/>
        <w:jc w:val="both"/>
        <w:rPr>
          <w:color w:val="000000" w:themeColor="text1"/>
          <w:u w:val="single"/>
        </w:rPr>
      </w:pPr>
      <w:r w:rsidRPr="002B3BA2">
        <w:rPr>
          <w:color w:val="000000" w:themeColor="text1"/>
          <w:u w:val="single"/>
        </w:rPr>
        <w:t>Késleltetett CCS feltétel:</w:t>
      </w:r>
      <w:r>
        <w:rPr>
          <w:color w:val="000000" w:themeColor="text1"/>
        </w:rPr>
        <w:t xml:space="preserve"> amennyiben a technológia alkalmazásának műszaki és gazdasági feltételei nem állnak rendelkezésre mit jelent a szén megtartása </w:t>
      </w:r>
      <w:r w:rsidR="0057141F">
        <w:rPr>
          <w:color w:val="000000" w:themeColor="text1"/>
        </w:rPr>
        <w:t xml:space="preserve">és a földgáz domináns szerepének érintetlenül hagyása </w:t>
      </w:r>
      <w:r>
        <w:rPr>
          <w:color w:val="000000" w:themeColor="text1"/>
        </w:rPr>
        <w:t>az energiamixben</w:t>
      </w:r>
    </w:p>
    <w:p w:rsidR="002B3BA2" w:rsidRDefault="002B3BA2" w:rsidP="00A856AA">
      <w:pPr>
        <w:pStyle w:val="Listaszerbekezds"/>
        <w:spacing w:after="120"/>
        <w:contextualSpacing w:val="0"/>
        <w:jc w:val="both"/>
        <w:rPr>
          <w:b/>
          <w:color w:val="000000" w:themeColor="text1"/>
        </w:rPr>
      </w:pPr>
      <w:r w:rsidRPr="002B3BA2">
        <w:rPr>
          <w:b/>
          <w:color w:val="000000" w:themeColor="text1"/>
        </w:rPr>
        <w:t>A cél a forgatókönyv elemzések elvégzése olyan indi</w:t>
      </w:r>
      <w:r w:rsidR="00E26DD8">
        <w:rPr>
          <w:b/>
          <w:color w:val="000000" w:themeColor="text1"/>
        </w:rPr>
        <w:t>ká</w:t>
      </w:r>
      <w:r w:rsidRPr="002B3BA2">
        <w:rPr>
          <w:b/>
          <w:color w:val="000000" w:themeColor="text1"/>
        </w:rPr>
        <w:t>t</w:t>
      </w:r>
      <w:r w:rsidR="00E26DD8">
        <w:rPr>
          <w:b/>
          <w:color w:val="000000" w:themeColor="text1"/>
        </w:rPr>
        <w:t>o</w:t>
      </w:r>
      <w:r w:rsidRPr="002B3BA2">
        <w:rPr>
          <w:b/>
          <w:color w:val="000000" w:themeColor="text1"/>
        </w:rPr>
        <w:t xml:space="preserve">rok segítségével, amelyek rendszeres </w:t>
      </w:r>
      <w:proofErr w:type="spellStart"/>
      <w:r w:rsidRPr="002B3BA2">
        <w:rPr>
          <w:b/>
          <w:color w:val="000000" w:themeColor="text1"/>
        </w:rPr>
        <w:t>nyomonkövetése</w:t>
      </w:r>
      <w:proofErr w:type="spellEnd"/>
      <w:r w:rsidRPr="002B3BA2">
        <w:rPr>
          <w:b/>
          <w:color w:val="000000" w:themeColor="text1"/>
        </w:rPr>
        <w:t xml:space="preserve"> információt adhat arról, hogy melyik változat megvalósulása a reális. Ez megteremt</w:t>
      </w:r>
      <w:r w:rsidR="00E26DD8">
        <w:rPr>
          <w:b/>
          <w:color w:val="000000" w:themeColor="text1"/>
        </w:rPr>
        <w:t>heti a</w:t>
      </w:r>
      <w:r w:rsidRPr="002B3BA2">
        <w:rPr>
          <w:b/>
          <w:color w:val="000000" w:themeColor="text1"/>
        </w:rPr>
        <w:t xml:space="preserve"> </w:t>
      </w:r>
      <w:r w:rsidR="00E26DD8">
        <w:rPr>
          <w:b/>
          <w:color w:val="000000" w:themeColor="text1"/>
        </w:rPr>
        <w:t>szakmai alapot a Kormány esetleges közvetlen beavatkozásához</w:t>
      </w:r>
      <w:r w:rsidR="00A66E65">
        <w:rPr>
          <w:b/>
          <w:color w:val="000000" w:themeColor="text1"/>
        </w:rPr>
        <w:t>,</w:t>
      </w:r>
      <w:r w:rsidR="00E26DD8">
        <w:rPr>
          <w:b/>
          <w:color w:val="000000" w:themeColor="text1"/>
        </w:rPr>
        <w:t xml:space="preserve"> amennyiben energiapolitikai céljainkkal nem összeegyeztethető tendenciákat jeleznek az indikátorok. </w:t>
      </w:r>
      <w:r>
        <w:rPr>
          <w:b/>
          <w:color w:val="000000" w:themeColor="text1"/>
        </w:rPr>
        <w:t>Egy lehetséges indik</w:t>
      </w:r>
      <w:r w:rsidR="002D1AAE">
        <w:rPr>
          <w:b/>
          <w:color w:val="000000" w:themeColor="text1"/>
        </w:rPr>
        <w:t xml:space="preserve">átor készlet (összhangban az EU prioritásaival): megújuló energia aránya, üvegházhatású gáz kibocsátás mennyisége és fajlagos értéke, valamint a fosszilis és biomassza erőművek tényleges </w:t>
      </w:r>
      <w:r w:rsidR="00E26DD8">
        <w:rPr>
          <w:b/>
          <w:color w:val="000000" w:themeColor="text1"/>
        </w:rPr>
        <w:t xml:space="preserve">átlagos </w:t>
      </w:r>
      <w:r w:rsidR="002D1AAE">
        <w:rPr>
          <w:b/>
          <w:color w:val="000000" w:themeColor="text1"/>
        </w:rPr>
        <w:t>hatásfoka.</w:t>
      </w:r>
      <w:r w:rsidR="005964C8">
        <w:rPr>
          <w:b/>
          <w:color w:val="000000" w:themeColor="text1"/>
        </w:rPr>
        <w:t xml:space="preserve"> </w:t>
      </w:r>
      <w:r w:rsidR="005964C8">
        <w:rPr>
          <w:color w:val="000000" w:themeColor="text1"/>
        </w:rPr>
        <w:t xml:space="preserve">Ilyen értelemben az </w:t>
      </w:r>
      <w:proofErr w:type="spellStart"/>
      <w:r w:rsidR="005964C8">
        <w:rPr>
          <w:color w:val="000000" w:themeColor="text1"/>
        </w:rPr>
        <w:t>EFCsT</w:t>
      </w:r>
      <w:proofErr w:type="spellEnd"/>
      <w:r w:rsidR="005964C8">
        <w:rPr>
          <w:color w:val="000000" w:themeColor="text1"/>
        </w:rPr>
        <w:t xml:space="preserve"> nem tekinthető klasszikus értelemben cselekvési tervnek, inkább állapot indikátorként használható.</w:t>
      </w:r>
    </w:p>
    <w:p w:rsidR="002D1AAE" w:rsidRDefault="002D1AAE" w:rsidP="00A856AA">
      <w:pPr>
        <w:pStyle w:val="Listaszerbekezds"/>
        <w:spacing w:after="120"/>
        <w:contextualSpacing w:val="0"/>
        <w:jc w:val="both"/>
        <w:rPr>
          <w:b/>
          <w:color w:val="000000" w:themeColor="text1"/>
        </w:rPr>
      </w:pPr>
    </w:p>
    <w:p w:rsidR="002D1AAE" w:rsidRPr="002D1AAE" w:rsidRDefault="002D1AAE" w:rsidP="00A856AA">
      <w:pPr>
        <w:pStyle w:val="Listaszerbekezds"/>
        <w:numPr>
          <w:ilvl w:val="0"/>
          <w:numId w:val="7"/>
        </w:numPr>
        <w:spacing w:after="120"/>
        <w:contextualSpacing w:val="0"/>
        <w:jc w:val="both"/>
        <w:rPr>
          <w:b/>
          <w:color w:val="000000" w:themeColor="text1"/>
        </w:rPr>
      </w:pPr>
      <w:r w:rsidRPr="002D1AAE">
        <w:rPr>
          <w:b/>
          <w:color w:val="000000" w:themeColor="text1"/>
        </w:rPr>
        <w:t>A hosszú távú (</w:t>
      </w:r>
      <w:proofErr w:type="spellStart"/>
      <w:r w:rsidRPr="002D1AAE">
        <w:rPr>
          <w:b/>
          <w:color w:val="000000" w:themeColor="text1"/>
        </w:rPr>
        <w:t>dekarbonizációs</w:t>
      </w:r>
      <w:proofErr w:type="spellEnd"/>
      <w:r w:rsidRPr="002D1AAE">
        <w:rPr>
          <w:b/>
          <w:color w:val="000000" w:themeColor="text1"/>
        </w:rPr>
        <w:t xml:space="preserve">) célok és a rövidtávú intézkedések közötti összhang megteremtése, mivel a hosszú távú </w:t>
      </w:r>
      <w:r w:rsidR="005964C8">
        <w:rPr>
          <w:b/>
          <w:color w:val="000000" w:themeColor="text1"/>
        </w:rPr>
        <w:t>intézkedések</w:t>
      </w:r>
      <w:r w:rsidRPr="002D1AAE">
        <w:rPr>
          <w:b/>
          <w:color w:val="000000" w:themeColor="text1"/>
        </w:rPr>
        <w:t xml:space="preserve"> megvalósítása csak akkor lehet reális, ha</w:t>
      </w:r>
      <w:r w:rsidR="00E26DD8">
        <w:rPr>
          <w:b/>
          <w:color w:val="000000" w:themeColor="text1"/>
        </w:rPr>
        <w:t xml:space="preserve"> a megvalósításhoz szükséges</w:t>
      </w:r>
      <w:r w:rsidRPr="002D1AAE">
        <w:rPr>
          <w:b/>
          <w:color w:val="000000" w:themeColor="text1"/>
        </w:rPr>
        <w:t xml:space="preserve"> döntések</w:t>
      </w:r>
      <w:r w:rsidR="00CF6E87">
        <w:rPr>
          <w:b/>
          <w:color w:val="000000" w:themeColor="text1"/>
        </w:rPr>
        <w:t xml:space="preserve"> már</w:t>
      </w:r>
      <w:r w:rsidRPr="002D1AAE">
        <w:rPr>
          <w:b/>
          <w:color w:val="000000" w:themeColor="text1"/>
        </w:rPr>
        <w:t xml:space="preserve"> a rövid távú </w:t>
      </w:r>
      <w:r w:rsidRPr="002D1AAE">
        <w:rPr>
          <w:b/>
          <w:color w:val="000000" w:themeColor="text1"/>
        </w:rPr>
        <w:lastRenderedPageBreak/>
        <w:t xml:space="preserve">intézkedésekben megjelennek, biztosítva a lépcsőzetes megközelítést. Ennek egy alapfeltétele, hogy azon részágazati stratégiák összhangban legyenek, amelyek végrehajtása </w:t>
      </w:r>
      <w:r w:rsidRPr="00AA0055">
        <w:rPr>
          <w:b/>
          <w:color w:val="000000" w:themeColor="text1"/>
        </w:rPr>
        <w:t>befolyásolja a villamosenergia-szektor egészét.</w:t>
      </w:r>
      <w:r w:rsidRPr="002D1AAE">
        <w:rPr>
          <w:color w:val="000000" w:themeColor="text1"/>
        </w:rPr>
        <w:t xml:space="preserve"> </w:t>
      </w:r>
      <w:r w:rsidR="005964C8">
        <w:rPr>
          <w:color w:val="000000" w:themeColor="text1"/>
        </w:rPr>
        <w:t xml:space="preserve">Ilyenek a cselekvési tervek (Megújuló energiahasznosítási, </w:t>
      </w:r>
      <w:r w:rsidRPr="002D1AAE">
        <w:rPr>
          <w:color w:val="000000" w:themeColor="text1"/>
        </w:rPr>
        <w:t>Ásványvagyon</w:t>
      </w:r>
      <w:r>
        <w:rPr>
          <w:color w:val="000000" w:themeColor="text1"/>
        </w:rPr>
        <w:t xml:space="preserve"> hasznosítás és Készletgazdálkodás</w:t>
      </w:r>
      <w:r w:rsidRPr="002D1AAE">
        <w:rPr>
          <w:color w:val="000000" w:themeColor="text1"/>
        </w:rPr>
        <w:t>, Távhő</w:t>
      </w:r>
      <w:r>
        <w:rPr>
          <w:color w:val="000000" w:themeColor="text1"/>
        </w:rPr>
        <w:t>fejlesztés</w:t>
      </w:r>
      <w:r w:rsidR="005964C8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  <w:r w:rsidR="005964C8">
        <w:rPr>
          <w:color w:val="000000" w:themeColor="text1"/>
        </w:rPr>
        <w:t xml:space="preserve">az egyéb kormányzati intézkedések (például: METÁR), valamint a csak részben kormányzati döntésen múló intézkedések (például </w:t>
      </w:r>
      <w:r w:rsidR="005964C8" w:rsidRPr="002D1AAE">
        <w:rPr>
          <w:color w:val="000000" w:themeColor="text1"/>
        </w:rPr>
        <w:t>Paks</w:t>
      </w:r>
      <w:r w:rsidR="005964C8">
        <w:rPr>
          <w:color w:val="000000" w:themeColor="text1"/>
        </w:rPr>
        <w:t>i Atomerőmű</w:t>
      </w:r>
      <w:r w:rsidR="005964C8" w:rsidRPr="002D1AAE">
        <w:rPr>
          <w:color w:val="000000" w:themeColor="text1"/>
        </w:rPr>
        <w:t xml:space="preserve"> bővítés</w:t>
      </w:r>
      <w:r w:rsidR="005964C8">
        <w:rPr>
          <w:color w:val="000000" w:themeColor="text1"/>
        </w:rPr>
        <w:t>e, derogációs kérelem végrehajtása kedvező elbírálás esetén</w:t>
      </w:r>
      <w:r w:rsidR="005964C8" w:rsidRPr="002D1AAE">
        <w:rPr>
          <w:color w:val="000000" w:themeColor="text1"/>
        </w:rPr>
        <w:t>)</w:t>
      </w:r>
      <w:r w:rsidR="005964C8">
        <w:rPr>
          <w:color w:val="000000" w:themeColor="text1"/>
        </w:rPr>
        <w:t xml:space="preserve"> </w:t>
      </w:r>
      <w:r>
        <w:rPr>
          <w:color w:val="000000" w:themeColor="text1"/>
        </w:rPr>
        <w:t>azonban</w:t>
      </w:r>
      <w:r w:rsidRPr="002D1AAE">
        <w:rPr>
          <w:color w:val="000000" w:themeColor="text1"/>
        </w:rPr>
        <w:t xml:space="preserve"> ezek összegzése és a teljes villamosenergia-termelés szempontjából történő optimalizálása nem történt meg.</w:t>
      </w:r>
      <w:r>
        <w:rPr>
          <w:color w:val="000000" w:themeColor="text1"/>
        </w:rPr>
        <w:t xml:space="preserve"> </w:t>
      </w:r>
    </w:p>
    <w:p w:rsidR="002D1AAE" w:rsidRDefault="002D1AAE" w:rsidP="00A856A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AD5" w:rsidRDefault="002D1AAE" w:rsidP="00A856A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4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erőmű létesítések befektetői döntéseken alapulnak, a legfontosabb az Energiastratégiával összhangban a kiszámítható és befektetés ösztönző keret kialakítása. </w:t>
      </w:r>
      <w:r w:rsidR="006A45EB" w:rsidRPr="00062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kapacitásfejlesztési útitervvel nem az a célunk, hogy megszabjuk a piaci befektetők számára a fejlesztési irányokat, hanem az, hogy az energiapolitika mindenkori felelős vezetői </w:t>
      </w:r>
      <w:r w:rsidR="0014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a befektetni szándékozók </w:t>
      </w:r>
      <w:r w:rsidR="006A45EB" w:rsidRPr="00062A3B">
        <w:rPr>
          <w:rFonts w:ascii="Times New Roman" w:hAnsi="Times New Roman" w:cs="Times New Roman"/>
          <w:color w:val="000000" w:themeColor="text1"/>
          <w:sz w:val="24"/>
          <w:szCs w:val="24"/>
        </w:rPr>
        <w:t>pontos képet</w:t>
      </w:r>
      <w:r w:rsidR="006A4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kaphassanak arról, </w:t>
      </w:r>
      <w:r w:rsidR="00397CAA">
        <w:rPr>
          <w:rFonts w:ascii="Times New Roman" w:hAnsi="Times New Roman" w:cs="Times New Roman"/>
          <w:color w:val="000000" w:themeColor="text1"/>
          <w:sz w:val="24"/>
          <w:szCs w:val="24"/>
        </w:rPr>
        <w:t>hogy a</w:t>
      </w:r>
      <w:r w:rsidR="00397CAA" w:rsidRPr="00397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gazdasági növekedésbeli-, költségvetési-, energiapolitikai és környezetvédelmi lehetőségei</w:t>
      </w:r>
      <w:r w:rsidR="00397CAA">
        <w:rPr>
          <w:rFonts w:ascii="Times New Roman" w:hAnsi="Times New Roman" w:cs="Times New Roman"/>
          <w:color w:val="000000" w:themeColor="text1"/>
          <w:sz w:val="24"/>
          <w:szCs w:val="24"/>
        </w:rPr>
        <w:t>nke</w:t>
      </w:r>
      <w:r w:rsidR="00397CAA" w:rsidRPr="00397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kiegyensúlyozottan figyelembe vevő </w:t>
      </w:r>
      <w:r w:rsidR="00397CAA">
        <w:rPr>
          <w:rFonts w:ascii="Times New Roman" w:hAnsi="Times New Roman" w:cs="Times New Roman"/>
          <w:color w:val="000000" w:themeColor="text1"/>
          <w:sz w:val="24"/>
          <w:szCs w:val="24"/>
        </w:rPr>
        <w:t>ideális iránytól milyen mértékben térnek el a piac diktálta kapacitásfejlesztés tendenciái.</w:t>
      </w:r>
      <w:r w:rsidR="0014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fentieknek megfelelően a cselekvési terv </w:t>
      </w:r>
      <w:r w:rsidR="00CF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tartalmaz egy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rövidtávú </w:t>
      </w:r>
      <w:r w:rsidR="0014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intézkedés </w:t>
      </w:r>
      <w:r w:rsidR="00CF6E87">
        <w:rPr>
          <w:rFonts w:ascii="Times New Roman" w:hAnsi="Times New Roman" w:cs="Times New Roman"/>
          <w:color w:val="000000" w:themeColor="text1"/>
          <w:sz w:val="24"/>
          <w:szCs w:val="24"/>
        </w:rPr>
        <w:t>csomagot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1406F7">
        <w:rPr>
          <w:rFonts w:ascii="Times New Roman" w:hAnsi="Times New Roman" w:cs="Times New Roman"/>
          <w:color w:val="000000" w:themeColor="text1"/>
          <w:sz w:val="24"/>
          <w:szCs w:val="24"/>
        </w:rPr>
        <w:t>befektetők orientálás</w:t>
      </w:r>
      <w:r w:rsidR="00CF6E87">
        <w:rPr>
          <w:rFonts w:ascii="Times New Roman" w:hAnsi="Times New Roman" w:cs="Times New Roman"/>
          <w:color w:val="000000" w:themeColor="text1"/>
          <w:sz w:val="24"/>
          <w:szCs w:val="24"/>
        </w:rPr>
        <w:t>a céljából</w:t>
      </w:r>
      <w:r w:rsidR="0014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ahhoz, hogy már a rövidtávú intézkedések </w:t>
      </w:r>
      <w:r w:rsidR="00CF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14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1406F7">
        <w:rPr>
          <w:rFonts w:ascii="Times New Roman" w:hAnsi="Times New Roman" w:cs="Times New Roman"/>
          <w:color w:val="000000" w:themeColor="text1"/>
          <w:sz w:val="24"/>
          <w:szCs w:val="24"/>
        </w:rPr>
        <w:t>dekarbonizáció</w:t>
      </w:r>
      <w:proofErr w:type="spellEnd"/>
      <w:r w:rsidR="00140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felé való elmozdulásra ösztönözzenek.</w:t>
      </w:r>
      <w:r w:rsidR="00E13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06F7" w:rsidRDefault="001406F7" w:rsidP="00A856A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EU energiapolitikájának célja 2050-re a villamosenergia-termelés majdnem teljes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dekarbonizációja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Ennek lehetőségeit már érintőlegesen elemeztük az Energiastratégiában is, aminek eredményeképp azt kaptuk, hogy lehetséges </w:t>
      </w:r>
      <w:r w:rsidR="00CF6E87">
        <w:rPr>
          <w:rFonts w:ascii="Times New Roman" w:hAnsi="Times New Roman" w:cs="Times New Roman"/>
          <w:color w:val="000000" w:themeColor="text1"/>
          <w:sz w:val="24"/>
          <w:szCs w:val="24"/>
        </w:rPr>
        <w:t>lényegi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dekarbonizáció</w:t>
      </w:r>
      <w:proofErr w:type="spellEnd"/>
      <w:r w:rsidR="00CF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magyar energiaszektorban 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azonban </w:t>
      </w:r>
      <w:r w:rsidR="00CF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ennek előfeltétele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CCS</w:t>
      </w:r>
      <w:r w:rsidR="00CF6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CCR technológiák piacérettsége és társadalmi elfogadottsága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hosszú távú bizonytalanság miatt sok feltételezéssel éltünk, ezért a készülő Hazai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Dekarbonizációs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Útitervvel összhangban célszerűnek látjuk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dekarbonizációs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alternatívák mélyebb és több részletre kiterjedő elemzését.</w:t>
      </w:r>
    </w:p>
    <w:p w:rsidR="00A0303F" w:rsidRDefault="006A45EB" w:rsidP="00A856A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5EB">
        <w:rPr>
          <w:rFonts w:ascii="Times New Roman" w:hAnsi="Times New Roman" w:cs="Times New Roman"/>
          <w:color w:val="000000" w:themeColor="text1"/>
          <w:sz w:val="24"/>
          <w:szCs w:val="24"/>
        </w:rPr>
        <w:t>Bár ma is megoszlanak a vélemények az állam tulajdonosi és közvetlen szabályozói szerepét illetően az energiaszektorban is, bizonyítást nyert, hogy tisztán piaci alapon nem lehet hatékonyan képviselni a közjót és a nemzeti érdekeket.</w:t>
      </w:r>
      <w:r w:rsidR="00397C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Ezért az államnak</w:t>
      </w:r>
      <w:r w:rsidR="00BB75C8">
        <w:rPr>
          <w:rFonts w:ascii="Times New Roman" w:hAnsi="Times New Roman" w:cs="Times New Roman"/>
          <w:color w:val="000000" w:themeColor="text1"/>
          <w:sz w:val="24"/>
          <w:szCs w:val="24"/>
        </w:rPr>
        <w:t>, szabályozási és gazdálkodási eszközei segítségével, biztosítani kell az energiaellátás közszolgáltatás jellegének erősítését</w:t>
      </w:r>
      <w:r w:rsidR="00B002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6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kiserőművek esetén az engedélyeztetési eljárás lényegi egyszerűsítését,</w:t>
      </w:r>
      <w:r w:rsidR="00B00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mindezt piaci környezetben. Ebben a döntés előkészítő munkában kíván iránytű lenni az </w:t>
      </w:r>
      <w:proofErr w:type="spellStart"/>
      <w:r w:rsidR="00B002F4">
        <w:rPr>
          <w:rFonts w:ascii="Times New Roman" w:hAnsi="Times New Roman" w:cs="Times New Roman"/>
          <w:color w:val="000000" w:themeColor="text1"/>
          <w:sz w:val="24"/>
          <w:szCs w:val="24"/>
        </w:rPr>
        <w:t>Erőműfejlesztési</w:t>
      </w:r>
      <w:proofErr w:type="spellEnd"/>
      <w:r w:rsidR="00B00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Cselekvési Terv.</w:t>
      </w:r>
    </w:p>
    <w:p w:rsidR="00BB75C8" w:rsidRPr="00182E4B" w:rsidRDefault="00BB75C8" w:rsidP="00A856A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693" w:rsidRPr="00BD6455" w:rsidRDefault="00074447" w:rsidP="00A856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BEVEZETÉS</w:t>
      </w:r>
    </w:p>
    <w:p w:rsidR="00DE2FB1" w:rsidRPr="00B92FCE" w:rsidRDefault="00B90DA2" w:rsidP="00A856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FCE">
        <w:rPr>
          <w:rFonts w:ascii="Times New Roman" w:hAnsi="Times New Roman" w:cs="Times New Roman"/>
          <w:b/>
          <w:sz w:val="24"/>
          <w:szCs w:val="24"/>
        </w:rPr>
        <w:t xml:space="preserve">A magyar villamosenergia-rendszer eddigi legnagyobb bruttó rendszerterhelése 6602 MW volt (2007. 11. 29.), míg az átlagos évi rendszerterhelés értéke 6018 MW-ot tett ki 2010-ben. Ezzel szemben áll 9318 MW bruttó beépített </w:t>
      </w:r>
      <w:proofErr w:type="spellStart"/>
      <w:r w:rsidRPr="00B92FCE">
        <w:rPr>
          <w:rFonts w:ascii="Times New Roman" w:hAnsi="Times New Roman" w:cs="Times New Roman"/>
          <w:b/>
          <w:sz w:val="24"/>
          <w:szCs w:val="24"/>
        </w:rPr>
        <w:t>erőművi</w:t>
      </w:r>
      <w:proofErr w:type="spellEnd"/>
      <w:r w:rsidRPr="00B92FCE">
        <w:rPr>
          <w:rFonts w:ascii="Times New Roman" w:hAnsi="Times New Roman" w:cs="Times New Roman"/>
          <w:b/>
          <w:sz w:val="24"/>
          <w:szCs w:val="24"/>
        </w:rPr>
        <w:t xml:space="preserve"> teljesítmény, melyből a rendelkezésre álló állandó teljesítőképesség 8414 MW (2010). Rövidtávon tehát nincs indoka új </w:t>
      </w:r>
      <w:proofErr w:type="spellStart"/>
      <w:r w:rsidRPr="00B92FCE">
        <w:rPr>
          <w:rFonts w:ascii="Times New Roman" w:hAnsi="Times New Roman" w:cs="Times New Roman"/>
          <w:b/>
          <w:sz w:val="24"/>
          <w:szCs w:val="24"/>
        </w:rPr>
        <w:t>erőművi</w:t>
      </w:r>
      <w:proofErr w:type="spellEnd"/>
      <w:r w:rsidRPr="00B92FCE">
        <w:rPr>
          <w:rFonts w:ascii="Times New Roman" w:hAnsi="Times New Roman" w:cs="Times New Roman"/>
          <w:b/>
          <w:sz w:val="24"/>
          <w:szCs w:val="24"/>
        </w:rPr>
        <w:t xml:space="preserve"> beruházásnak. Közép- és hosszútávon – elsősorban az elavulttá váló alacsony hatásfokú erőművek kiváltása miatt-, másodsorban az évi </w:t>
      </w:r>
      <w:r w:rsidR="00DE2FB1" w:rsidRPr="00B92FCE">
        <w:rPr>
          <w:rFonts w:ascii="Times New Roman" w:hAnsi="Times New Roman" w:cs="Times New Roman"/>
          <w:b/>
          <w:sz w:val="24"/>
          <w:szCs w:val="24"/>
        </w:rPr>
        <w:t xml:space="preserve">átlagos 1,5%-os azaz </w:t>
      </w:r>
      <w:r w:rsidRPr="00B92FCE">
        <w:rPr>
          <w:rFonts w:ascii="Times New Roman" w:hAnsi="Times New Roman" w:cs="Times New Roman"/>
          <w:b/>
          <w:sz w:val="24"/>
          <w:szCs w:val="24"/>
        </w:rPr>
        <w:t>kb. 100 MW</w:t>
      </w:r>
      <w:r w:rsidR="00DE2FB1" w:rsidRPr="00B92FCE">
        <w:rPr>
          <w:rFonts w:ascii="Times New Roman" w:hAnsi="Times New Roman" w:cs="Times New Roman"/>
          <w:b/>
          <w:sz w:val="24"/>
          <w:szCs w:val="24"/>
        </w:rPr>
        <w:t>-os</w:t>
      </w:r>
      <w:r w:rsidRPr="00B92FCE">
        <w:rPr>
          <w:rFonts w:ascii="Times New Roman" w:hAnsi="Times New Roman" w:cs="Times New Roman"/>
          <w:b/>
          <w:sz w:val="24"/>
          <w:szCs w:val="24"/>
        </w:rPr>
        <w:t xml:space="preserve"> igénynövekedésnek köszönhetően – kapacitásfejlesztés szükséges.</w:t>
      </w:r>
      <w:r w:rsidRPr="00B90DA2">
        <w:rPr>
          <w:rFonts w:ascii="Times New Roman" w:hAnsi="Times New Roman" w:cs="Times New Roman"/>
          <w:sz w:val="24"/>
          <w:szCs w:val="24"/>
        </w:rPr>
        <w:t xml:space="preserve"> </w:t>
      </w:r>
      <w:r w:rsidR="00DE2FB1" w:rsidRPr="00DE2FB1">
        <w:rPr>
          <w:rFonts w:ascii="Times New Roman" w:hAnsi="Times New Roman" w:cs="Times New Roman"/>
          <w:sz w:val="24"/>
          <w:szCs w:val="24"/>
        </w:rPr>
        <w:t>Mindezt megerős</w:t>
      </w:r>
      <w:r w:rsidR="006A7B30">
        <w:rPr>
          <w:rFonts w:ascii="Times New Roman" w:hAnsi="Times New Roman" w:cs="Times New Roman"/>
          <w:sz w:val="24"/>
          <w:szCs w:val="24"/>
        </w:rPr>
        <w:t>íti az is, hogy mértékadó szakmai szervezetek</w:t>
      </w:r>
      <w:r w:rsidR="00DE2FB1" w:rsidRPr="00DE2FB1">
        <w:rPr>
          <w:rFonts w:ascii="Times New Roman" w:hAnsi="Times New Roman" w:cs="Times New Roman"/>
          <w:sz w:val="24"/>
          <w:szCs w:val="24"/>
        </w:rPr>
        <w:t xml:space="preserve"> (I</w:t>
      </w:r>
      <w:r w:rsidR="006A7B30">
        <w:rPr>
          <w:rFonts w:ascii="Times New Roman" w:hAnsi="Times New Roman" w:cs="Times New Roman"/>
          <w:sz w:val="24"/>
          <w:szCs w:val="24"/>
        </w:rPr>
        <w:t>EA</w:t>
      </w:r>
      <w:r w:rsidR="00DE2FB1" w:rsidRPr="00DE2FB1">
        <w:rPr>
          <w:rFonts w:ascii="Times New Roman" w:hAnsi="Times New Roman" w:cs="Times New Roman"/>
          <w:sz w:val="24"/>
          <w:szCs w:val="24"/>
        </w:rPr>
        <w:t>) 1%-os növekedést prognosztizálnak az EU villamosenergia-felhasználására, és azt mindenképpen feltételezni lehet, hogy Magyarországon az átlagnál nagyobb lesz a növekmény, hiszen felhasznált villamos energia tekintetében az európai rangsor végén helyezkedünk el.</w:t>
      </w:r>
      <w:r w:rsidR="00DE2FB1">
        <w:rPr>
          <w:rFonts w:ascii="Times New Roman" w:hAnsi="Times New Roman" w:cs="Times New Roman"/>
          <w:sz w:val="24"/>
          <w:szCs w:val="24"/>
        </w:rPr>
        <w:t xml:space="preserve"> </w:t>
      </w:r>
      <w:r w:rsidR="00DE2FB1" w:rsidRPr="00B92FC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DE2FB1" w:rsidRPr="00B92FCE">
        <w:rPr>
          <w:rFonts w:ascii="Times New Roman" w:hAnsi="Times New Roman" w:cs="Times New Roman"/>
          <w:b/>
          <w:sz w:val="24"/>
          <w:szCs w:val="24"/>
        </w:rPr>
        <w:t>Mavir</w:t>
      </w:r>
      <w:proofErr w:type="spellEnd"/>
      <w:r w:rsidR="00DE2FB1" w:rsidRPr="00B92FCE">
        <w:rPr>
          <w:rFonts w:ascii="Times New Roman" w:hAnsi="Times New Roman" w:cs="Times New Roman"/>
          <w:b/>
          <w:sz w:val="24"/>
          <w:szCs w:val="24"/>
        </w:rPr>
        <w:t xml:space="preserve"> 2011-es </w:t>
      </w:r>
      <w:r w:rsidR="00DE2FB1" w:rsidRPr="00B92F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Villamosenergia-rendszer Forrásoldali Kapacitáselemzése szerint a hazai erőműpark bruttó névleges villamos teljesítőképessége </w:t>
      </w:r>
      <w:r w:rsidR="00A0303F" w:rsidRPr="00B92FCE">
        <w:rPr>
          <w:rFonts w:ascii="Times New Roman" w:hAnsi="Times New Roman" w:cs="Times New Roman"/>
          <w:b/>
          <w:sz w:val="24"/>
          <w:szCs w:val="24"/>
        </w:rPr>
        <w:t xml:space="preserve">14000 MW közelébe növekedhet </w:t>
      </w:r>
      <w:r w:rsidR="00DE2FB1" w:rsidRPr="00B92FCE">
        <w:rPr>
          <w:rFonts w:ascii="Times New Roman" w:hAnsi="Times New Roman" w:cs="Times New Roman"/>
          <w:b/>
          <w:sz w:val="24"/>
          <w:szCs w:val="24"/>
        </w:rPr>
        <w:t>2030-ra</w:t>
      </w:r>
      <w:r w:rsidR="00A0303F" w:rsidRPr="00B92FCE">
        <w:rPr>
          <w:rFonts w:ascii="Times New Roman" w:hAnsi="Times New Roman" w:cs="Times New Roman"/>
          <w:b/>
          <w:sz w:val="24"/>
          <w:szCs w:val="24"/>
        </w:rPr>
        <w:t>,</w:t>
      </w:r>
      <w:r w:rsidR="00DE2FB1" w:rsidRPr="00B92FCE">
        <w:rPr>
          <w:rFonts w:ascii="Times New Roman" w:hAnsi="Times New Roman" w:cs="Times New Roman"/>
          <w:b/>
          <w:sz w:val="24"/>
          <w:szCs w:val="24"/>
        </w:rPr>
        <w:t xml:space="preserve"> elsősorban a nagy egység-teljesítőképességű atomerőmű-blokkok nagyságától függően</w:t>
      </w:r>
      <w:r w:rsidR="008C38EF" w:rsidRPr="00B92FCE">
        <w:rPr>
          <w:rFonts w:ascii="Times New Roman" w:hAnsi="Times New Roman" w:cs="Times New Roman"/>
          <w:b/>
          <w:sz w:val="24"/>
          <w:szCs w:val="24"/>
        </w:rPr>
        <w:t>.</w:t>
      </w:r>
    </w:p>
    <w:p w:rsidR="00B90DA2" w:rsidRDefault="00DE2FB1" w:rsidP="00A856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CE">
        <w:rPr>
          <w:rFonts w:ascii="Times New Roman" w:hAnsi="Times New Roman" w:cs="Times New Roman"/>
          <w:b/>
          <w:sz w:val="24"/>
          <w:szCs w:val="24"/>
        </w:rPr>
        <w:t xml:space="preserve">Tekintettel arra, hogy a már most elöregedett erőműparkunknak mintegy a fele vagy még kisebb része maradhat csak meg az említett két évtized távlatában, azt kell jeleznünk, hogy mintegy 9000 MW új bruttó erőműves teljesítőképességet kell létrehozni hazánkban, melyből várhatóan </w:t>
      </w:r>
      <w:r w:rsidR="00B20385" w:rsidRPr="00B92FCE">
        <w:rPr>
          <w:rFonts w:ascii="Times New Roman" w:hAnsi="Times New Roman" w:cs="Times New Roman"/>
          <w:b/>
          <w:sz w:val="24"/>
          <w:szCs w:val="24"/>
        </w:rPr>
        <w:t xml:space="preserve">7000 MW </w:t>
      </w:r>
      <w:proofErr w:type="spellStart"/>
      <w:r w:rsidR="00B20385" w:rsidRPr="00B92FCE">
        <w:rPr>
          <w:rFonts w:ascii="Times New Roman" w:hAnsi="Times New Roman" w:cs="Times New Roman"/>
          <w:b/>
          <w:sz w:val="24"/>
          <w:szCs w:val="24"/>
        </w:rPr>
        <w:t>nagyerőművi</w:t>
      </w:r>
      <w:proofErr w:type="spellEnd"/>
      <w:r w:rsidR="00B20385" w:rsidRPr="00B92FCE">
        <w:rPr>
          <w:rFonts w:ascii="Times New Roman" w:hAnsi="Times New Roman" w:cs="Times New Roman"/>
          <w:b/>
          <w:sz w:val="24"/>
          <w:szCs w:val="24"/>
        </w:rPr>
        <w:t xml:space="preserve"> és 2</w:t>
      </w:r>
      <w:r w:rsidR="00DB7427" w:rsidRPr="00B92FCE">
        <w:rPr>
          <w:rFonts w:ascii="Times New Roman" w:hAnsi="Times New Roman" w:cs="Times New Roman"/>
          <w:b/>
          <w:sz w:val="24"/>
          <w:szCs w:val="24"/>
        </w:rPr>
        <w:t xml:space="preserve">000 MW </w:t>
      </w:r>
      <w:proofErr w:type="spellStart"/>
      <w:r w:rsidR="00DB7427" w:rsidRPr="00B92FCE">
        <w:rPr>
          <w:rFonts w:ascii="Times New Roman" w:hAnsi="Times New Roman" w:cs="Times New Roman"/>
          <w:b/>
          <w:sz w:val="24"/>
          <w:szCs w:val="24"/>
        </w:rPr>
        <w:t>kiserőművi</w:t>
      </w:r>
      <w:proofErr w:type="spellEnd"/>
      <w:r w:rsidR="00DB7427" w:rsidRPr="00B92FCE">
        <w:rPr>
          <w:rFonts w:ascii="Times New Roman" w:hAnsi="Times New Roman" w:cs="Times New Roman"/>
          <w:b/>
          <w:sz w:val="24"/>
          <w:szCs w:val="24"/>
        </w:rPr>
        <w:t xml:space="preserve"> lesz</w:t>
      </w:r>
      <w:r w:rsidR="008C38EF">
        <w:rPr>
          <w:rFonts w:ascii="Times New Roman" w:hAnsi="Times New Roman" w:cs="Times New Roman"/>
          <w:sz w:val="24"/>
          <w:szCs w:val="24"/>
        </w:rPr>
        <w:t xml:space="preserve"> (</w:t>
      </w:r>
      <w:r w:rsidR="008C38EF" w:rsidRPr="00BD6455">
        <w:rPr>
          <w:rFonts w:ascii="Times New Roman" w:hAnsi="Times New Roman" w:cs="Times New Roman"/>
          <w:b/>
          <w:sz w:val="24"/>
          <w:szCs w:val="24"/>
        </w:rPr>
        <w:t>1</w:t>
      </w:r>
      <w:r w:rsidR="00BD6455" w:rsidRPr="00BD6455">
        <w:rPr>
          <w:rFonts w:ascii="Times New Roman" w:hAnsi="Times New Roman" w:cs="Times New Roman"/>
          <w:b/>
          <w:sz w:val="24"/>
          <w:szCs w:val="24"/>
        </w:rPr>
        <w:t>.</w:t>
      </w:r>
      <w:r w:rsidR="008C38EF" w:rsidRPr="00BD6455">
        <w:rPr>
          <w:rFonts w:ascii="Times New Roman" w:hAnsi="Times New Roman" w:cs="Times New Roman"/>
          <w:b/>
          <w:sz w:val="24"/>
          <w:szCs w:val="24"/>
        </w:rPr>
        <w:t xml:space="preserve"> ábra</w:t>
      </w:r>
      <w:r w:rsidR="008C38EF">
        <w:rPr>
          <w:rFonts w:ascii="Times New Roman" w:hAnsi="Times New Roman" w:cs="Times New Roman"/>
          <w:sz w:val="24"/>
          <w:szCs w:val="24"/>
        </w:rPr>
        <w:t>)</w:t>
      </w:r>
      <w:r w:rsidR="00DB74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A2" w:rsidRDefault="00182E4B" w:rsidP="00A856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933825" cy="2892916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9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C0" w:rsidRPr="002E0DC0" w:rsidRDefault="002E0DC0" w:rsidP="00A856AA">
      <w:pPr>
        <w:pStyle w:val="Listaszerbekezds"/>
        <w:spacing w:after="120"/>
        <w:contextualSpacing w:val="0"/>
        <w:jc w:val="both"/>
        <w:rPr>
          <w:sz w:val="20"/>
          <w:szCs w:val="20"/>
        </w:rPr>
      </w:pPr>
      <w:r>
        <w:rPr>
          <w:b/>
        </w:rPr>
        <w:t xml:space="preserve">1. </w:t>
      </w:r>
      <w:r w:rsidR="006A7B30" w:rsidRPr="002E0DC0">
        <w:rPr>
          <w:b/>
        </w:rPr>
        <w:t>ábra</w:t>
      </w:r>
      <w:r w:rsidR="006A7B30" w:rsidRPr="002E0DC0">
        <w:t xml:space="preserve"> - A kapacitáslétesítés idő</w:t>
      </w:r>
      <w:r w:rsidR="00CF6E87">
        <w:t xml:space="preserve">- és volumen </w:t>
      </w:r>
      <w:r w:rsidR="006A7B30" w:rsidRPr="002E0DC0">
        <w:t>skálája</w:t>
      </w:r>
      <w:r>
        <w:t xml:space="preserve"> </w:t>
      </w:r>
      <w:r w:rsidRPr="002E0DC0">
        <w:rPr>
          <w:sz w:val="20"/>
          <w:szCs w:val="20"/>
        </w:rPr>
        <w:t>(Forrás: A Magyar Villamosenergia-rendszer Forrásoldali Kapacitáselemzése 2011.</w:t>
      </w:r>
      <w:r>
        <w:rPr>
          <w:sz w:val="20"/>
          <w:szCs w:val="20"/>
        </w:rPr>
        <w:t>, MAVIR</w:t>
      </w:r>
      <w:r w:rsidRPr="002E0DC0">
        <w:rPr>
          <w:sz w:val="20"/>
          <w:szCs w:val="20"/>
        </w:rPr>
        <w:t>)</w:t>
      </w:r>
    </w:p>
    <w:p w:rsidR="00BB75C8" w:rsidRDefault="00BB75C8" w:rsidP="00A856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8A1" w:rsidRPr="00D808A1" w:rsidRDefault="00D851F9" w:rsidP="00A856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KAPACITÁS JÖVŐKÉP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NEMZETI ENERGIASTRATÉGIA ALAPJÁN</w:t>
      </w:r>
    </w:p>
    <w:p w:rsidR="00D87D2D" w:rsidRDefault="00F353C1" w:rsidP="00A856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CE">
        <w:rPr>
          <w:rFonts w:ascii="Times New Roman" w:hAnsi="Times New Roman" w:cs="Times New Roman"/>
          <w:b/>
          <w:sz w:val="24"/>
          <w:szCs w:val="24"/>
        </w:rPr>
        <w:t xml:space="preserve">Hazánk </w:t>
      </w:r>
      <w:r w:rsidR="00FC2388" w:rsidRPr="00B92FCE">
        <w:rPr>
          <w:rFonts w:ascii="Times New Roman" w:hAnsi="Times New Roman" w:cs="Times New Roman"/>
          <w:b/>
          <w:sz w:val="24"/>
          <w:szCs w:val="24"/>
        </w:rPr>
        <w:t xml:space="preserve">gazdasági növekedésbeli-, </w:t>
      </w:r>
      <w:r w:rsidRPr="00B92FCE">
        <w:rPr>
          <w:rFonts w:ascii="Times New Roman" w:hAnsi="Times New Roman" w:cs="Times New Roman"/>
          <w:b/>
          <w:sz w:val="24"/>
          <w:szCs w:val="24"/>
        </w:rPr>
        <w:t>költségvetési</w:t>
      </w:r>
      <w:r w:rsidR="00FC2388" w:rsidRPr="00B92FCE">
        <w:rPr>
          <w:rFonts w:ascii="Times New Roman" w:hAnsi="Times New Roman" w:cs="Times New Roman"/>
          <w:b/>
          <w:sz w:val="24"/>
          <w:szCs w:val="24"/>
        </w:rPr>
        <w:t xml:space="preserve">-, energiapolitikai és környezetvédelmi </w:t>
      </w:r>
      <w:r w:rsidRPr="00B92FCE">
        <w:rPr>
          <w:rFonts w:ascii="Times New Roman" w:hAnsi="Times New Roman" w:cs="Times New Roman"/>
          <w:b/>
          <w:sz w:val="24"/>
          <w:szCs w:val="24"/>
        </w:rPr>
        <w:t>lehet</w:t>
      </w:r>
      <w:r w:rsidR="00FC2388" w:rsidRPr="00B92FCE">
        <w:rPr>
          <w:rFonts w:ascii="Times New Roman" w:hAnsi="Times New Roman" w:cs="Times New Roman"/>
          <w:b/>
          <w:sz w:val="24"/>
          <w:szCs w:val="24"/>
        </w:rPr>
        <w:t>őségeit kiegyensúlyozottan figyelembe vevő</w:t>
      </w:r>
      <w:r w:rsidR="006A7B30" w:rsidRPr="00B92FCE">
        <w:rPr>
          <w:rFonts w:ascii="Times New Roman" w:hAnsi="Times New Roman" w:cs="Times New Roman"/>
          <w:b/>
          <w:sz w:val="24"/>
          <w:szCs w:val="24"/>
        </w:rPr>
        <w:t xml:space="preserve"> kapacitásfejlesztés</w:t>
      </w:r>
      <w:r w:rsidR="00FC2388" w:rsidRPr="00B92FCE">
        <w:rPr>
          <w:rFonts w:ascii="Times New Roman" w:hAnsi="Times New Roman" w:cs="Times New Roman"/>
          <w:b/>
          <w:sz w:val="24"/>
          <w:szCs w:val="24"/>
        </w:rPr>
        <w:t>ének</w:t>
      </w:r>
      <w:r w:rsidR="006A7B30" w:rsidRPr="00B92FCE">
        <w:rPr>
          <w:rFonts w:ascii="Times New Roman" w:hAnsi="Times New Roman" w:cs="Times New Roman"/>
          <w:b/>
          <w:sz w:val="24"/>
          <w:szCs w:val="24"/>
        </w:rPr>
        <w:t xml:space="preserve"> irányait</w:t>
      </w:r>
      <w:r w:rsidR="00A0303F" w:rsidRPr="00B92FCE">
        <w:rPr>
          <w:rFonts w:ascii="Times New Roman" w:hAnsi="Times New Roman" w:cs="Times New Roman"/>
          <w:b/>
          <w:sz w:val="24"/>
          <w:szCs w:val="24"/>
        </w:rPr>
        <w:t xml:space="preserve"> az Országgyűlés által elfogadott Nemzeti Energiastratégia adja meg</w:t>
      </w:r>
      <w:r w:rsidRPr="00B92FCE">
        <w:rPr>
          <w:rFonts w:ascii="Times New Roman" w:hAnsi="Times New Roman" w:cs="Times New Roman"/>
          <w:b/>
          <w:sz w:val="24"/>
          <w:szCs w:val="24"/>
        </w:rPr>
        <w:t>,</w:t>
      </w:r>
      <w:r w:rsidR="00A0303F" w:rsidRPr="00B92FCE">
        <w:rPr>
          <w:rFonts w:ascii="Times New Roman" w:hAnsi="Times New Roman" w:cs="Times New Roman"/>
          <w:b/>
          <w:sz w:val="24"/>
          <w:szCs w:val="24"/>
        </w:rPr>
        <w:t xml:space="preserve"> a megvalósításra javasolt </w:t>
      </w:r>
      <w:r w:rsidR="00A0303F" w:rsidRPr="00B92FCE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proofErr w:type="spellStart"/>
      <w:r w:rsidR="00A0303F" w:rsidRPr="00B92FCE">
        <w:rPr>
          <w:rFonts w:ascii="Times New Roman" w:hAnsi="Times New Roman" w:cs="Times New Roman"/>
          <w:b/>
          <w:sz w:val="24"/>
          <w:szCs w:val="24"/>
          <w:u w:val="single"/>
        </w:rPr>
        <w:t>atom-szé</w:t>
      </w:r>
      <w:r w:rsidRPr="00B92FCE">
        <w:rPr>
          <w:rFonts w:ascii="Times New Roman" w:hAnsi="Times New Roman" w:cs="Times New Roman"/>
          <w:b/>
          <w:sz w:val="24"/>
          <w:szCs w:val="24"/>
          <w:u w:val="single"/>
        </w:rPr>
        <w:t>n-zöld</w:t>
      </w:r>
      <w:proofErr w:type="spellEnd"/>
      <w:r w:rsidRPr="00B92FCE">
        <w:rPr>
          <w:rFonts w:ascii="Times New Roman" w:hAnsi="Times New Roman" w:cs="Times New Roman"/>
          <w:b/>
          <w:sz w:val="24"/>
          <w:szCs w:val="24"/>
          <w:u w:val="single"/>
        </w:rPr>
        <w:t>” forgatókönyv</w:t>
      </w:r>
      <w:r w:rsidR="00551FE6">
        <w:rPr>
          <w:rFonts w:ascii="Times New Roman" w:hAnsi="Times New Roman" w:cs="Times New Roman"/>
          <w:b/>
          <w:sz w:val="24"/>
          <w:szCs w:val="24"/>
        </w:rPr>
        <w:t xml:space="preserve"> formájában. </w:t>
      </w:r>
      <w:r w:rsidR="00551FE6" w:rsidRPr="00551FE6">
        <w:rPr>
          <w:rFonts w:ascii="Times New Roman" w:hAnsi="Times New Roman" w:cs="Times New Roman"/>
          <w:sz w:val="24"/>
          <w:szCs w:val="24"/>
        </w:rPr>
        <w:t>Ez azt</w:t>
      </w:r>
      <w:r w:rsidR="00551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D2D">
        <w:rPr>
          <w:rFonts w:ascii="Times New Roman" w:hAnsi="Times New Roman" w:cs="Times New Roman"/>
          <w:sz w:val="24"/>
          <w:szCs w:val="24"/>
        </w:rPr>
        <w:t xml:space="preserve">jelenti, hogy a 2030-ra becsülhető </w:t>
      </w:r>
      <w:r w:rsidR="006F499F">
        <w:rPr>
          <w:rFonts w:ascii="Times New Roman" w:hAnsi="Times New Roman" w:cs="Times New Roman"/>
          <w:sz w:val="24"/>
          <w:szCs w:val="24"/>
        </w:rPr>
        <w:t xml:space="preserve">nettó </w:t>
      </w:r>
      <w:r w:rsidR="00D87D2D">
        <w:rPr>
          <w:rFonts w:ascii="Times New Roman" w:hAnsi="Times New Roman" w:cs="Times New Roman"/>
          <w:sz w:val="24"/>
          <w:szCs w:val="24"/>
        </w:rPr>
        <w:t xml:space="preserve">8500 MW </w:t>
      </w:r>
      <w:proofErr w:type="spellStart"/>
      <w:r w:rsidR="006F499F">
        <w:rPr>
          <w:rFonts w:ascii="Times New Roman" w:hAnsi="Times New Roman" w:cs="Times New Roman"/>
          <w:sz w:val="24"/>
          <w:szCs w:val="24"/>
        </w:rPr>
        <w:t>villamosenergia</w:t>
      </w:r>
      <w:proofErr w:type="spellEnd"/>
      <w:r w:rsidR="006F499F">
        <w:rPr>
          <w:rFonts w:ascii="Times New Roman" w:hAnsi="Times New Roman" w:cs="Times New Roman"/>
          <w:sz w:val="24"/>
          <w:szCs w:val="24"/>
        </w:rPr>
        <w:t xml:space="preserve"> fogy</w:t>
      </w:r>
      <w:r w:rsidR="0083469E">
        <w:rPr>
          <w:rFonts w:ascii="Times New Roman" w:hAnsi="Times New Roman" w:cs="Times New Roman"/>
          <w:sz w:val="24"/>
          <w:szCs w:val="24"/>
        </w:rPr>
        <w:t>a</w:t>
      </w:r>
      <w:r w:rsidR="006F499F">
        <w:rPr>
          <w:rFonts w:ascii="Times New Roman" w:hAnsi="Times New Roman" w:cs="Times New Roman"/>
          <w:sz w:val="24"/>
          <w:szCs w:val="24"/>
        </w:rPr>
        <w:t>sztásunkból:</w:t>
      </w:r>
    </w:p>
    <w:p w:rsidR="00D87D2D" w:rsidRDefault="00D87D2D" w:rsidP="00A856AA">
      <w:pPr>
        <w:pStyle w:val="Listaszerbekezds"/>
        <w:numPr>
          <w:ilvl w:val="0"/>
          <w:numId w:val="6"/>
        </w:numPr>
        <w:spacing w:after="120"/>
        <w:contextualSpacing w:val="0"/>
        <w:jc w:val="both"/>
      </w:pPr>
      <w:r>
        <w:t>az atomenergia részesedése minimum 4000-4600 MW lesz</w:t>
      </w:r>
    </w:p>
    <w:p w:rsidR="00D87D2D" w:rsidRDefault="00D87D2D" w:rsidP="00A856AA">
      <w:pPr>
        <w:pStyle w:val="Listaszerbekezds"/>
        <w:numPr>
          <w:ilvl w:val="0"/>
          <w:numId w:val="6"/>
        </w:numPr>
        <w:spacing w:after="120"/>
        <w:contextualSpacing w:val="0"/>
        <w:jc w:val="both"/>
      </w:pPr>
      <w:r>
        <w:t>a megújuló energiaforrások része</w:t>
      </w:r>
      <w:r w:rsidR="00B92FCE">
        <w:t>sedése 1350 MW körüli érték</w:t>
      </w:r>
    </w:p>
    <w:p w:rsidR="00D87D2D" w:rsidRPr="00D87D2D" w:rsidRDefault="00D87D2D" w:rsidP="00A856AA">
      <w:pPr>
        <w:pStyle w:val="Listaszerbekezds"/>
        <w:numPr>
          <w:ilvl w:val="0"/>
          <w:numId w:val="6"/>
        </w:numPr>
        <w:spacing w:after="120"/>
        <w:contextualSpacing w:val="0"/>
        <w:jc w:val="both"/>
      </w:pPr>
      <w:r>
        <w:t>a szén</w:t>
      </w:r>
      <w:r w:rsidR="006F499F">
        <w:t xml:space="preserve"> 440 </w:t>
      </w:r>
      <w:proofErr w:type="spellStart"/>
      <w:r w:rsidR="006F499F">
        <w:t>MW-al</w:t>
      </w:r>
      <w:proofErr w:type="spellEnd"/>
      <w:r w:rsidR="006F499F">
        <w:t xml:space="preserve"> veszi ki a részét</w:t>
      </w:r>
    </w:p>
    <w:p w:rsidR="00074447" w:rsidRDefault="006F499F" w:rsidP="00A856AA">
      <w:pPr>
        <w:pStyle w:val="Listaszerbekezds"/>
        <w:numPr>
          <w:ilvl w:val="0"/>
          <w:numId w:val="6"/>
        </w:numPr>
        <w:spacing w:after="120"/>
        <w:contextualSpacing w:val="0"/>
        <w:jc w:val="both"/>
      </w:pPr>
      <w:r>
        <w:t>a földgáz alapú villanyáram termelés 3300-3350 MW-ra becsülhető</w:t>
      </w:r>
    </w:p>
    <w:p w:rsidR="0083469E" w:rsidRPr="006F499F" w:rsidRDefault="005964C8" w:rsidP="00A856AA">
      <w:pPr>
        <w:pStyle w:val="Listaszerbekezds"/>
        <w:numPr>
          <w:ilvl w:val="0"/>
          <w:numId w:val="6"/>
        </w:numPr>
        <w:spacing w:after="120"/>
        <w:contextualSpacing w:val="0"/>
        <w:jc w:val="both"/>
      </w:pPr>
      <w:r>
        <w:t>a regionális versenyképesség függvényében</w:t>
      </w:r>
      <w:r w:rsidR="0083469E">
        <w:t xml:space="preserve"> ebben a szcenárióban akár egy 1000-1200 MW-nyi export lehetősége is benne van</w:t>
      </w:r>
    </w:p>
    <w:p w:rsidR="00F353C1" w:rsidRDefault="00074447" w:rsidP="00A856A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447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2733675" cy="2838450"/>
            <wp:effectExtent l="0" t="0" r="0" b="0"/>
            <wp:docPr id="4" name="Objektum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680520" cy="4464496"/>
                      <a:chOff x="1979712" y="1628800"/>
                      <a:chExt cx="4680520" cy="4464496"/>
                    </a:xfrm>
                  </a:grpSpPr>
                  <a:grpSp>
                    <a:nvGrpSpPr>
                      <a:cNvPr id="9" name="Csoportba foglalás 8"/>
                      <a:cNvGrpSpPr/>
                    </a:nvGrpSpPr>
                    <a:grpSpPr>
                      <a:xfrm>
                        <a:off x="1979712" y="1628800"/>
                        <a:ext cx="4680520" cy="4464496"/>
                        <a:chOff x="1979712" y="1268760"/>
                        <a:chExt cx="4680520" cy="4464496"/>
                      </a:xfrm>
                    </a:grpSpPr>
                    <a:grpSp>
                      <a:nvGrpSpPr>
                        <a:cNvPr id="3" name="Csoportba foglalás 6"/>
                        <a:cNvGrpSpPr/>
                      </a:nvGrpSpPr>
                      <a:grpSpPr>
                        <a:xfrm>
                          <a:off x="2411760" y="1628041"/>
                          <a:ext cx="3960440" cy="3889191"/>
                          <a:chOff x="2915816" y="1484025"/>
                          <a:chExt cx="3960440" cy="3889191"/>
                        </a:xfrm>
                      </a:grpSpPr>
                      <a:grpSp>
                        <a:nvGrpSpPr>
                          <a:cNvPr id="5" name="Csoportba foglalás 4"/>
                          <a:cNvGrpSpPr/>
                        </a:nvGrpSpPr>
                        <a:grpSpPr>
                          <a:xfrm>
                            <a:off x="2915816" y="1484025"/>
                            <a:ext cx="2088232" cy="3889191"/>
                            <a:chOff x="3491880" y="2144687"/>
                            <a:chExt cx="1297660" cy="3085271"/>
                          </a:xfrm>
                        </a:grpSpPr>
                        <a:pic>
                          <a:nvPicPr>
                            <a:cNvPr id="2051" name="Kép 6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 cstate="print"/>
                            <a:srcRect l="74149" r="11591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341218" y="1628997"/>
                              <a:ext cx="1158774" cy="3888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2052" name="Kép 6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 cstate="print"/>
                            <a:srcRect r="88592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411760" y="1628041"/>
                              <a:ext cx="927019" cy="3888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a:grpSp>
                      <a:pic>
                        <a:nvPicPr>
                          <a:cNvPr id="6" name="Kép 6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9" cstate="print"/>
                          <a:srcRect l="11591" r="67019" b="72370"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4716016" y="1834162"/>
                            <a:ext cx="1656184" cy="1306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</a:grpSp>
                    <a:sp>
                      <a:nvSpPr>
                        <a:cNvPr id="8" name="Téglalap 7"/>
                        <a:cNvSpPr/>
                      </a:nvSpPr>
                      <a:spPr>
                        <a:xfrm>
                          <a:off x="1979712" y="1268760"/>
                          <a:ext cx="4680520" cy="446449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hu-H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hu-H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074447" w:rsidRDefault="00551FE6" w:rsidP="00A856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14D9" w:rsidRPr="00E140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0B4" w:rsidRPr="00E140B4">
        <w:rPr>
          <w:rFonts w:ascii="Times New Roman" w:hAnsi="Times New Roman" w:cs="Times New Roman"/>
          <w:b/>
          <w:sz w:val="24"/>
          <w:szCs w:val="24"/>
        </w:rPr>
        <w:t>ábra</w:t>
      </w:r>
      <w:r w:rsidR="00E140B4">
        <w:rPr>
          <w:rFonts w:ascii="Times New Roman" w:hAnsi="Times New Roman" w:cs="Times New Roman"/>
          <w:sz w:val="24"/>
          <w:szCs w:val="24"/>
        </w:rPr>
        <w:t xml:space="preserve"> - </w:t>
      </w:r>
      <w:r w:rsidR="00E140B4" w:rsidRPr="00E140B4">
        <w:rPr>
          <w:rFonts w:ascii="Times New Roman" w:hAnsi="Times New Roman" w:cs="Times New Roman"/>
          <w:sz w:val="24"/>
          <w:szCs w:val="24"/>
        </w:rPr>
        <w:t xml:space="preserve">Magyarország várható </w:t>
      </w:r>
      <w:proofErr w:type="spellStart"/>
      <w:r w:rsidR="00E140B4" w:rsidRPr="00E140B4">
        <w:rPr>
          <w:rFonts w:ascii="Times New Roman" w:hAnsi="Times New Roman" w:cs="Times New Roman"/>
          <w:sz w:val="24"/>
          <w:szCs w:val="24"/>
        </w:rPr>
        <w:t>villamosenergia</w:t>
      </w:r>
      <w:proofErr w:type="spellEnd"/>
      <w:r w:rsidR="00E140B4" w:rsidRPr="00E140B4">
        <w:rPr>
          <w:rFonts w:ascii="Times New Roman" w:hAnsi="Times New Roman" w:cs="Times New Roman"/>
          <w:sz w:val="24"/>
          <w:szCs w:val="24"/>
        </w:rPr>
        <w:t xml:space="preserve"> termelési strukt</w:t>
      </w:r>
      <w:r w:rsidR="00FC03E7">
        <w:rPr>
          <w:rFonts w:ascii="Times New Roman" w:hAnsi="Times New Roman" w:cs="Times New Roman"/>
          <w:sz w:val="24"/>
          <w:szCs w:val="24"/>
        </w:rPr>
        <w:t>úrája a megvalósításra kijelölt</w:t>
      </w:r>
      <w:r w:rsidR="00E140B4" w:rsidRPr="00E140B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140B4" w:rsidRPr="00E140B4">
        <w:rPr>
          <w:rFonts w:ascii="Times New Roman" w:hAnsi="Times New Roman" w:cs="Times New Roman"/>
          <w:sz w:val="24"/>
          <w:szCs w:val="24"/>
        </w:rPr>
        <w:t>atom-szén-zöld</w:t>
      </w:r>
      <w:proofErr w:type="spellEnd"/>
      <w:r w:rsidR="00E140B4" w:rsidRPr="00E140B4">
        <w:rPr>
          <w:rFonts w:ascii="Times New Roman" w:hAnsi="Times New Roman" w:cs="Times New Roman"/>
          <w:sz w:val="24"/>
          <w:szCs w:val="24"/>
        </w:rPr>
        <w:t>” forgatókönyv szerint 2030-ban</w:t>
      </w:r>
    </w:p>
    <w:p w:rsidR="00D808A1" w:rsidRPr="00D808A1" w:rsidRDefault="00D808A1" w:rsidP="00A856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C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F499F" w:rsidRPr="00B92FCE">
        <w:rPr>
          <w:rFonts w:ascii="Times New Roman" w:hAnsi="Times New Roman" w:cs="Times New Roman"/>
          <w:b/>
          <w:sz w:val="24"/>
          <w:szCs w:val="24"/>
        </w:rPr>
        <w:t xml:space="preserve">Nemzeti Energiastratégia alapján a </w:t>
      </w:r>
      <w:r w:rsidRPr="00B92FCE">
        <w:rPr>
          <w:rFonts w:ascii="Times New Roman" w:hAnsi="Times New Roman" w:cs="Times New Roman"/>
          <w:b/>
          <w:sz w:val="24"/>
          <w:szCs w:val="24"/>
        </w:rPr>
        <w:t>villamosenergia-termeléshez kapcsolt jelenlegi CO</w:t>
      </w:r>
      <w:r w:rsidRPr="00B92FC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2FCE">
        <w:rPr>
          <w:rFonts w:ascii="Times New Roman" w:hAnsi="Times New Roman" w:cs="Times New Roman"/>
          <w:b/>
          <w:sz w:val="24"/>
          <w:szCs w:val="24"/>
        </w:rPr>
        <w:t>-intenzitásnak 370 gramm CO</w:t>
      </w:r>
      <w:r w:rsidRPr="00B92FC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B92FCE">
        <w:rPr>
          <w:rFonts w:ascii="Times New Roman" w:hAnsi="Times New Roman" w:cs="Times New Roman"/>
          <w:b/>
          <w:sz w:val="24"/>
          <w:szCs w:val="24"/>
        </w:rPr>
        <w:t>/kWh szintről közelítőleg 200 gramm CO</w:t>
      </w:r>
      <w:r w:rsidRPr="00B92FC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6F499F" w:rsidRPr="00B92FCE">
        <w:rPr>
          <w:rFonts w:ascii="Times New Roman" w:hAnsi="Times New Roman" w:cs="Times New Roman"/>
          <w:b/>
          <w:sz w:val="24"/>
          <w:szCs w:val="24"/>
        </w:rPr>
        <w:t>/kWh-ra csökken</w:t>
      </w:r>
      <w:r w:rsidR="00F83457">
        <w:rPr>
          <w:rFonts w:ascii="Times New Roman" w:hAnsi="Times New Roman" w:cs="Times New Roman"/>
          <w:b/>
          <w:sz w:val="24"/>
          <w:szCs w:val="24"/>
        </w:rPr>
        <w:t xml:space="preserve"> 2030-ra</w:t>
      </w:r>
      <w:r w:rsidR="006F499F" w:rsidRPr="00B92FCE">
        <w:rPr>
          <w:rFonts w:ascii="Times New Roman" w:hAnsi="Times New Roman" w:cs="Times New Roman"/>
          <w:b/>
          <w:sz w:val="24"/>
          <w:szCs w:val="24"/>
        </w:rPr>
        <w:t xml:space="preserve">, ami </w:t>
      </w:r>
      <w:r w:rsidR="00F83457">
        <w:rPr>
          <w:rFonts w:ascii="Times New Roman" w:hAnsi="Times New Roman" w:cs="Times New Roman"/>
          <w:b/>
          <w:sz w:val="24"/>
          <w:szCs w:val="24"/>
        </w:rPr>
        <w:t xml:space="preserve">2030-tól a megújulók további térnyerésével, valamint a CCS technológia használatával akár majdnem teljes </w:t>
      </w:r>
      <w:proofErr w:type="spellStart"/>
      <w:r w:rsidR="00F83457">
        <w:rPr>
          <w:rFonts w:ascii="Times New Roman" w:hAnsi="Times New Roman" w:cs="Times New Roman"/>
          <w:b/>
          <w:sz w:val="24"/>
          <w:szCs w:val="24"/>
        </w:rPr>
        <w:t>dekarbonizációt</w:t>
      </w:r>
      <w:proofErr w:type="spellEnd"/>
      <w:r w:rsidR="00F83457">
        <w:rPr>
          <w:rFonts w:ascii="Times New Roman" w:hAnsi="Times New Roman" w:cs="Times New Roman"/>
          <w:b/>
          <w:sz w:val="24"/>
          <w:szCs w:val="24"/>
        </w:rPr>
        <w:t xml:space="preserve"> is eredményezhet 2050-re. </w:t>
      </w:r>
      <w:r w:rsidR="00256839">
        <w:rPr>
          <w:rFonts w:ascii="Times New Roman" w:hAnsi="Times New Roman" w:cs="Times New Roman"/>
          <w:caps/>
          <w:sz w:val="24"/>
          <w:szCs w:val="24"/>
        </w:rPr>
        <w:t>A</w:t>
      </w:r>
      <w:r w:rsidRPr="00D808A1">
        <w:rPr>
          <w:rFonts w:ascii="Times New Roman" w:hAnsi="Times New Roman" w:cs="Times New Roman"/>
          <w:sz w:val="24"/>
          <w:szCs w:val="24"/>
        </w:rPr>
        <w:t xml:space="preserve"> Paksi Atomerőmű telephelyén – a jelenlegi négy blokkjának üzemidő-hosszabbítása mellett – új </w:t>
      </w:r>
      <w:proofErr w:type="gramStart"/>
      <w:r w:rsidRPr="00D808A1">
        <w:rPr>
          <w:rFonts w:ascii="Times New Roman" w:hAnsi="Times New Roman" w:cs="Times New Roman"/>
          <w:sz w:val="24"/>
          <w:szCs w:val="24"/>
        </w:rPr>
        <w:t>blokk(</w:t>
      </w:r>
      <w:proofErr w:type="gramEnd"/>
      <w:r w:rsidRPr="00D808A1">
        <w:rPr>
          <w:rFonts w:ascii="Times New Roman" w:hAnsi="Times New Roman" w:cs="Times New Roman"/>
          <w:sz w:val="24"/>
          <w:szCs w:val="24"/>
        </w:rPr>
        <w:t xml:space="preserve">ok) létesülnek. A 2030-ig megépülő új </w:t>
      </w:r>
      <w:proofErr w:type="spellStart"/>
      <w:r w:rsidRPr="00D808A1">
        <w:rPr>
          <w:rFonts w:ascii="Times New Roman" w:hAnsi="Times New Roman" w:cs="Times New Roman"/>
          <w:sz w:val="24"/>
          <w:szCs w:val="24"/>
        </w:rPr>
        <w:t>atomerőművi</w:t>
      </w:r>
      <w:proofErr w:type="spellEnd"/>
      <w:r w:rsidRPr="00D808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8A1">
        <w:rPr>
          <w:rFonts w:ascii="Times New Roman" w:hAnsi="Times New Roman" w:cs="Times New Roman"/>
          <w:sz w:val="24"/>
          <w:szCs w:val="24"/>
        </w:rPr>
        <w:t>blokk(</w:t>
      </w:r>
      <w:proofErr w:type="gramEnd"/>
      <w:r w:rsidRPr="00D808A1">
        <w:rPr>
          <w:rFonts w:ascii="Times New Roman" w:hAnsi="Times New Roman" w:cs="Times New Roman"/>
          <w:sz w:val="24"/>
          <w:szCs w:val="24"/>
        </w:rPr>
        <w:t>ok) a CO</w:t>
      </w:r>
      <w:r w:rsidRPr="00D808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8A1">
        <w:rPr>
          <w:rFonts w:ascii="Times New Roman" w:hAnsi="Times New Roman" w:cs="Times New Roman"/>
          <w:sz w:val="24"/>
          <w:szCs w:val="24"/>
        </w:rPr>
        <w:t>-kibocsátás szempontjából kétségtelenül pozitív hatással lesznek, mivel az új blokk(ok) üzembe helyezését követő időszakra már egyértelműen CO</w:t>
      </w:r>
      <w:r w:rsidRPr="00D808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8A1">
        <w:rPr>
          <w:rFonts w:ascii="Times New Roman" w:hAnsi="Times New Roman" w:cs="Times New Roman"/>
          <w:sz w:val="24"/>
          <w:szCs w:val="24"/>
        </w:rPr>
        <w:t>-kvóta szűkösség prognosztizálható, így a bővítés okán megvásárlásra nem kerülő, vagy eladható CO</w:t>
      </w:r>
      <w:r w:rsidRPr="00D808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808A1">
        <w:rPr>
          <w:rFonts w:ascii="Times New Roman" w:hAnsi="Times New Roman" w:cs="Times New Roman"/>
          <w:sz w:val="24"/>
          <w:szCs w:val="24"/>
        </w:rPr>
        <w:t xml:space="preserve">-kvóták jelentős, jól számszerűsíthető gazdasági hasznot eredményeznek majd nemzetgazdasági szinten. </w:t>
      </w:r>
    </w:p>
    <w:p w:rsidR="00D808A1" w:rsidRPr="00F353C1" w:rsidRDefault="00256839" w:rsidP="00A856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D808A1" w:rsidRPr="00B92FCE">
        <w:rPr>
          <w:rFonts w:ascii="Times New Roman" w:hAnsi="Times New Roman" w:cs="Times New Roman"/>
          <w:b/>
          <w:sz w:val="24"/>
          <w:szCs w:val="24"/>
        </w:rPr>
        <w:t>ontos lesz megvizsgálni a 2032–37 utáni időszakot is. A jelenleg működő négy paksi blokk leállásával, és nem nukleáris kapacitásokkal való pótlásával ugyanis ekkor újra növekedhet a CO</w:t>
      </w:r>
      <w:r w:rsidR="00D808A1" w:rsidRPr="00B92FC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808A1" w:rsidRPr="00B92FCE">
        <w:rPr>
          <w:rFonts w:ascii="Times New Roman" w:hAnsi="Times New Roman" w:cs="Times New Roman"/>
          <w:b/>
          <w:sz w:val="24"/>
          <w:szCs w:val="24"/>
        </w:rPr>
        <w:t>-kibocsátás abban az esetben, ha a CO</w:t>
      </w:r>
      <w:r w:rsidR="00D808A1" w:rsidRPr="00B92FC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808A1" w:rsidRPr="00B92FCE">
        <w:rPr>
          <w:rFonts w:ascii="Times New Roman" w:hAnsi="Times New Roman" w:cs="Times New Roman"/>
          <w:b/>
          <w:sz w:val="24"/>
          <w:szCs w:val="24"/>
        </w:rPr>
        <w:t xml:space="preserve"> leválasztási és tárolási technológiák (CCS) még nem lesz piacérettek, így elveszíthetjük az előnyünket a CO</w:t>
      </w:r>
      <w:r w:rsidR="00D808A1" w:rsidRPr="00B92FC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808A1" w:rsidRPr="00B92FCE">
        <w:rPr>
          <w:rFonts w:ascii="Times New Roman" w:hAnsi="Times New Roman" w:cs="Times New Roman"/>
          <w:b/>
          <w:sz w:val="24"/>
          <w:szCs w:val="24"/>
        </w:rPr>
        <w:t>-kibocsátás tekintetében</w:t>
      </w:r>
      <w:r w:rsidR="0083469E">
        <w:rPr>
          <w:rFonts w:ascii="Times New Roman" w:hAnsi="Times New Roman" w:cs="Times New Roman"/>
          <w:b/>
          <w:sz w:val="24"/>
          <w:szCs w:val="24"/>
        </w:rPr>
        <w:t xml:space="preserve"> és jelentősen növekedhet a földgáz importunk, a jelenlegi kb. 10 Mrd m</w:t>
      </w:r>
      <w:r w:rsidR="0083469E" w:rsidRPr="0083469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3469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3469E">
        <w:rPr>
          <w:rFonts w:ascii="Times New Roman" w:hAnsi="Times New Roman" w:cs="Times New Roman"/>
          <w:b/>
          <w:sz w:val="24"/>
          <w:szCs w:val="24"/>
        </w:rPr>
        <w:t>év-ről</w:t>
      </w:r>
      <w:proofErr w:type="spellEnd"/>
      <w:r w:rsidR="0083469E">
        <w:rPr>
          <w:rFonts w:ascii="Times New Roman" w:hAnsi="Times New Roman" w:cs="Times New Roman"/>
          <w:b/>
          <w:sz w:val="24"/>
          <w:szCs w:val="24"/>
        </w:rPr>
        <w:t xml:space="preserve"> 18 Mrd m</w:t>
      </w:r>
      <w:r w:rsidR="0083469E" w:rsidRPr="0083469E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3469E">
        <w:rPr>
          <w:rFonts w:ascii="Times New Roman" w:hAnsi="Times New Roman" w:cs="Times New Roman"/>
          <w:b/>
          <w:sz w:val="24"/>
          <w:szCs w:val="24"/>
        </w:rPr>
        <w:t>/év-re</w:t>
      </w:r>
      <w:r w:rsidR="00D808A1" w:rsidRPr="00B92FCE">
        <w:rPr>
          <w:rFonts w:ascii="Times New Roman" w:hAnsi="Times New Roman" w:cs="Times New Roman"/>
          <w:b/>
          <w:sz w:val="24"/>
          <w:szCs w:val="24"/>
        </w:rPr>
        <w:t>.</w:t>
      </w:r>
      <w:r w:rsidR="00D808A1" w:rsidRPr="00D808A1">
        <w:rPr>
          <w:rFonts w:ascii="Times New Roman" w:hAnsi="Times New Roman" w:cs="Times New Roman"/>
          <w:sz w:val="24"/>
          <w:szCs w:val="24"/>
        </w:rPr>
        <w:t xml:space="preserve"> CCS alkalmazásával a megnövelt hatékonyságú modern gázturbinák és széntüzelésű blokkok is alternatívát jelenthetnek, megfelelő költséghatékonyság, illetve a környezetvédelmi, egészségügyi és tárolásbiztonsági feltételek megvalósulása esetén. </w:t>
      </w:r>
      <w:r w:rsidR="00F83457">
        <w:rPr>
          <w:rFonts w:ascii="Times New Roman" w:hAnsi="Times New Roman" w:cs="Times New Roman"/>
          <w:sz w:val="24"/>
          <w:szCs w:val="24"/>
        </w:rPr>
        <w:t>A CCS alkalmazhatóságának feltételeit az Ásványvagyon és Készlethasznosítási Cselekvési Terv vizsgálja.</w:t>
      </w:r>
    </w:p>
    <w:p w:rsidR="00D851F9" w:rsidRPr="00D851F9" w:rsidRDefault="00256839" w:rsidP="00A856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 forgatókönyv további bontása változatokra a CCS alkalmazása körüli hosszú távú bizonytalanság illetve a gazdaság versenyképességére gyakorolt hatások felmérése miatt szükséges. A villamos energia ára és rendelkezése állása ugyanis az egész gazdaság versenyképességét meghatározza, illetve a társadalom szempontjából is lényeges.</w:t>
      </w:r>
    </w:p>
    <w:p w:rsidR="00C87953" w:rsidRDefault="00C879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51F9" w:rsidRPr="00D808A1" w:rsidRDefault="00D851F9" w:rsidP="00A856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KAPACITÁS JÖVŐKÉP AZ EU ENERGIAÜGYI</w:t>
      </w:r>
      <w:r w:rsidR="00062A3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ÉS DEKARBONIZÁCIÓS ÚTITERVE ALAPJÁN</w:t>
      </w:r>
    </w:p>
    <w:p w:rsidR="003A729A" w:rsidRPr="006B29EC" w:rsidRDefault="003A729A" w:rsidP="00A856AA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729A">
        <w:rPr>
          <w:rFonts w:ascii="Times New Roman" w:hAnsi="Times New Roman" w:cs="Times New Roman"/>
          <w:noProof/>
          <w:sz w:val="24"/>
          <w:szCs w:val="24"/>
        </w:rPr>
        <w:t>Az Európai Unió elkötelezett arra nézve, hogy a fejlett országok csoportja által megvalósítandó csökkentések keretében 2050-ig az 1990. évi szint 80–95%-ára csökkentse az üvegházhatásúgáz-kibocsátást</w:t>
      </w:r>
      <w:r w:rsidRPr="003A729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  <w:r w:rsidRPr="003A729A">
        <w:rPr>
          <w:rFonts w:ascii="Times New Roman" w:hAnsi="Times New Roman" w:cs="Times New Roman"/>
          <w:noProof/>
          <w:sz w:val="24"/>
          <w:szCs w:val="24"/>
        </w:rPr>
        <w:t>„Az alacsony szén</w:t>
      </w:r>
      <w:r w:rsidRPr="003A729A">
        <w:rPr>
          <w:rFonts w:ascii="Times New Roman" w:hAnsi="Times New Roman" w:cs="Times New Roman"/>
          <w:noProof/>
          <w:sz w:val="24"/>
          <w:szCs w:val="24"/>
        </w:rPr>
        <w:noBreakHyphen/>
        <w:t>dioxid-kibocsátású, versenyképes gazdaság 2050-ig történő megvalósításának ütemterve” című dokumentumban a Bizottság ennek hatásait elemezte</w:t>
      </w:r>
      <w:r w:rsidR="00F83457">
        <w:rPr>
          <w:rFonts w:ascii="Times New Roman" w:hAnsi="Times New Roman" w:cs="Times New Roman"/>
          <w:noProof/>
          <w:sz w:val="24"/>
          <w:szCs w:val="24"/>
        </w:rPr>
        <w:t xml:space="preserve"> a gazdaság teljes egészére nézve</w:t>
      </w:r>
      <w:r w:rsidRPr="003A729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E13D1">
        <w:rPr>
          <w:rFonts w:ascii="Times New Roman" w:hAnsi="Times New Roman" w:cs="Times New Roman"/>
          <w:noProof/>
          <w:sz w:val="24"/>
          <w:szCs w:val="24"/>
        </w:rPr>
        <w:t xml:space="preserve">Ennek szektoriális lebontását további ütemtervek tartalmazzák. </w:t>
      </w:r>
      <w:r w:rsidR="00256839">
        <w:rPr>
          <w:rFonts w:ascii="Times New Roman" w:hAnsi="Times New Roman" w:cs="Times New Roman"/>
          <w:noProof/>
          <w:sz w:val="24"/>
          <w:szCs w:val="24"/>
        </w:rPr>
        <w:t>A</w:t>
      </w:r>
      <w:r w:rsidRPr="003A72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A729A">
        <w:rPr>
          <w:rFonts w:ascii="Times New Roman" w:hAnsi="Times New Roman" w:cs="Times New Roman"/>
          <w:b/>
          <w:noProof/>
          <w:sz w:val="24"/>
          <w:szCs w:val="24"/>
        </w:rPr>
        <w:t>2050-ig szóló energiaügyi ütemtervben</w:t>
      </w:r>
      <w:r w:rsidRPr="003A729A">
        <w:rPr>
          <w:rFonts w:ascii="Times New Roman" w:hAnsi="Times New Roman" w:cs="Times New Roman"/>
          <w:noProof/>
          <w:sz w:val="24"/>
          <w:szCs w:val="24"/>
        </w:rPr>
        <w:t xml:space="preserve"> a Bizottság azokat a kihívásokat vizsgálja meg, amelyeket az Európai Unió szén-dioxid-mentesítési célkitűzésének megvalósítása, és ezzel egyidejűleg az </w:t>
      </w:r>
      <w:r w:rsidRPr="003A729A">
        <w:rPr>
          <w:rFonts w:ascii="Times New Roman" w:hAnsi="Times New Roman" w:cs="Times New Roman"/>
          <w:b/>
          <w:noProof/>
          <w:sz w:val="24"/>
          <w:szCs w:val="24"/>
        </w:rPr>
        <w:t xml:space="preserve">energiaellátás biztonságának </w:t>
      </w:r>
      <w:r w:rsidRPr="003A729A">
        <w:rPr>
          <w:rFonts w:ascii="Times New Roman" w:hAnsi="Times New Roman" w:cs="Times New Roman"/>
          <w:noProof/>
          <w:sz w:val="24"/>
          <w:szCs w:val="24"/>
        </w:rPr>
        <w:t>és a</w:t>
      </w:r>
      <w:r w:rsidRPr="003A729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B29EC">
        <w:rPr>
          <w:rFonts w:ascii="Times New Roman" w:hAnsi="Times New Roman" w:cs="Times New Roman"/>
          <w:b/>
          <w:noProof/>
          <w:sz w:val="24"/>
          <w:szCs w:val="24"/>
        </w:rPr>
        <w:t>versenyképességnek a biztosítása</w:t>
      </w:r>
      <w:r w:rsidRPr="006B29EC">
        <w:rPr>
          <w:rFonts w:ascii="Times New Roman" w:hAnsi="Times New Roman" w:cs="Times New Roman"/>
          <w:noProof/>
          <w:sz w:val="24"/>
          <w:szCs w:val="24"/>
        </w:rPr>
        <w:t xml:space="preserve"> jelent</w:t>
      </w:r>
      <w:r w:rsidRPr="006B29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</w:p>
    <w:p w:rsidR="006A7B30" w:rsidRDefault="006B29EC" w:rsidP="00A856AA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29EC">
        <w:rPr>
          <w:rFonts w:ascii="Times New Roman" w:hAnsi="Times New Roman" w:cs="Times New Roman"/>
          <w:noProof/>
          <w:sz w:val="24"/>
          <w:szCs w:val="24"/>
        </w:rPr>
        <w:t xml:space="preserve">A 2050-re szóló energiaügyi ütemterv forgatókönyvei az energiarendszer </w:t>
      </w:r>
      <w:r w:rsidRPr="006B29EC">
        <w:rPr>
          <w:rFonts w:ascii="Times New Roman" w:hAnsi="Times New Roman" w:cs="Times New Roman"/>
          <w:b/>
          <w:noProof/>
          <w:sz w:val="24"/>
          <w:szCs w:val="24"/>
        </w:rPr>
        <w:t>szén</w:t>
      </w:r>
      <w:r w:rsidRPr="006B29EC">
        <w:rPr>
          <w:rFonts w:ascii="Times New Roman" w:hAnsi="Times New Roman" w:cs="Times New Roman"/>
          <w:b/>
          <w:noProof/>
          <w:sz w:val="24"/>
          <w:szCs w:val="24"/>
        </w:rPr>
        <w:noBreakHyphen/>
        <w:t>dioxid</w:t>
      </w:r>
      <w:r w:rsidRPr="006B29EC">
        <w:rPr>
          <w:rFonts w:ascii="Times New Roman" w:hAnsi="Times New Roman" w:cs="Times New Roman"/>
          <w:b/>
          <w:noProof/>
          <w:sz w:val="24"/>
          <w:szCs w:val="24"/>
        </w:rPr>
        <w:noBreakHyphen/>
        <w:t xml:space="preserve">mentesítésének különböző lehetőségeit </w:t>
      </w:r>
      <w:r w:rsidRPr="006B29EC">
        <w:rPr>
          <w:rFonts w:ascii="Times New Roman" w:hAnsi="Times New Roman" w:cs="Times New Roman"/>
          <w:noProof/>
          <w:sz w:val="24"/>
          <w:szCs w:val="24"/>
        </w:rPr>
        <w:t>tárják fel</w:t>
      </w:r>
      <w:r w:rsidRPr="006B29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  <w:r w:rsidRPr="006B29EC">
        <w:rPr>
          <w:rFonts w:ascii="Times New Roman" w:hAnsi="Times New Roman" w:cs="Times New Roman"/>
          <w:noProof/>
          <w:sz w:val="24"/>
          <w:szCs w:val="24"/>
        </w:rPr>
        <w:t xml:space="preserve">Ezek mindegyike </w:t>
      </w:r>
      <w:r w:rsidRPr="006B29EC">
        <w:rPr>
          <w:rFonts w:ascii="Times New Roman" w:hAnsi="Times New Roman" w:cs="Times New Roman"/>
          <w:b/>
          <w:noProof/>
          <w:sz w:val="24"/>
          <w:szCs w:val="24"/>
        </w:rPr>
        <w:t>jelentős változásokkal</w:t>
      </w:r>
      <w:r w:rsidRPr="006B29EC">
        <w:rPr>
          <w:rFonts w:ascii="Times New Roman" w:hAnsi="Times New Roman" w:cs="Times New Roman"/>
          <w:noProof/>
          <w:sz w:val="24"/>
          <w:szCs w:val="24"/>
        </w:rPr>
        <w:t xml:space="preserve"> jár például a szén-dioxid-árakat, a technológiát és a hálózatokat tekintve.</w:t>
      </w:r>
      <w:r w:rsidRPr="006B29E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6B29EC">
        <w:rPr>
          <w:rFonts w:ascii="Times New Roman" w:hAnsi="Times New Roman" w:cs="Times New Roman"/>
          <w:noProof/>
          <w:sz w:val="24"/>
          <w:szCs w:val="24"/>
        </w:rPr>
        <w:t xml:space="preserve">A Bizottság számos olyan forgatókönyvet megvizsgált, amely az üvegházhatásúgáz-kibocsátás </w:t>
      </w:r>
      <w:r w:rsidR="00E116C0">
        <w:rPr>
          <w:rFonts w:ascii="Times New Roman" w:hAnsi="Times New Roman" w:cs="Times New Roman"/>
          <w:noProof/>
          <w:sz w:val="24"/>
          <w:szCs w:val="24"/>
        </w:rPr>
        <w:t xml:space="preserve">átlagosan </w:t>
      </w:r>
      <w:r w:rsidRPr="006B29EC">
        <w:rPr>
          <w:rFonts w:ascii="Times New Roman" w:hAnsi="Times New Roman" w:cs="Times New Roman"/>
          <w:noProof/>
          <w:sz w:val="24"/>
          <w:szCs w:val="24"/>
        </w:rPr>
        <w:t>80%-os csökkentését</w:t>
      </w:r>
      <w:r w:rsidR="00E116C0">
        <w:rPr>
          <w:rFonts w:ascii="Times New Roman" w:hAnsi="Times New Roman" w:cs="Times New Roman"/>
          <w:noProof/>
          <w:sz w:val="24"/>
          <w:szCs w:val="24"/>
        </w:rPr>
        <w:t>-</w:t>
      </w:r>
      <w:r w:rsidRPr="006B29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116C0">
        <w:rPr>
          <w:rFonts w:ascii="Times New Roman" w:hAnsi="Times New Roman" w:cs="Times New Roman"/>
          <w:noProof/>
          <w:sz w:val="24"/>
          <w:szCs w:val="24"/>
        </w:rPr>
        <w:t>ezen belül az energia- és a közlekedési szektorban a CO</w:t>
      </w:r>
      <w:r w:rsidR="00E116C0" w:rsidRPr="00E116C0">
        <w:rPr>
          <w:rFonts w:ascii="Times New Roman" w:hAnsi="Times New Roman" w:cs="Times New Roman"/>
          <w:noProof/>
          <w:sz w:val="24"/>
          <w:szCs w:val="24"/>
          <w:vertAlign w:val="subscript"/>
        </w:rPr>
        <w:t>2</w:t>
      </w:r>
      <w:r w:rsidR="00E116C0">
        <w:rPr>
          <w:rFonts w:ascii="Times New Roman" w:hAnsi="Times New Roman" w:cs="Times New Roman"/>
          <w:noProof/>
          <w:sz w:val="24"/>
          <w:szCs w:val="24"/>
        </w:rPr>
        <w:t xml:space="preserve"> kibocsátás 85%-os redukcióját</w:t>
      </w:r>
      <w:r w:rsidRPr="006B29EC">
        <w:rPr>
          <w:rFonts w:ascii="Times New Roman" w:hAnsi="Times New Roman" w:cs="Times New Roman"/>
          <w:noProof/>
          <w:sz w:val="24"/>
          <w:szCs w:val="24"/>
        </w:rPr>
        <w:t xml:space="preserve"> célozza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56839" w:rsidRPr="003A729A" w:rsidRDefault="00256839" w:rsidP="00A856A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Az EU </w:t>
      </w:r>
      <w:r w:rsidRPr="006B29EC">
        <w:rPr>
          <w:rFonts w:ascii="Times New Roman" w:hAnsi="Times New Roman" w:cs="Times New Roman"/>
          <w:b/>
          <w:noProof/>
          <w:sz w:val="24"/>
          <w:szCs w:val="24"/>
        </w:rPr>
        <w:t>szén</w:t>
      </w:r>
      <w:r w:rsidRPr="006B29EC">
        <w:rPr>
          <w:rFonts w:ascii="Times New Roman" w:hAnsi="Times New Roman" w:cs="Times New Roman"/>
          <w:b/>
          <w:noProof/>
          <w:sz w:val="24"/>
          <w:szCs w:val="24"/>
        </w:rPr>
        <w:noBreakHyphen/>
        <w:t>dioxid</w:t>
      </w:r>
      <w:r w:rsidRPr="006B29EC">
        <w:rPr>
          <w:rFonts w:ascii="Times New Roman" w:hAnsi="Times New Roman" w:cs="Times New Roman"/>
          <w:b/>
          <w:noProof/>
          <w:sz w:val="24"/>
          <w:szCs w:val="24"/>
        </w:rPr>
        <w:noBreakHyphen/>
        <w:t>mentesítés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forgatókönyvei</w:t>
      </w:r>
    </w:p>
    <w:p w:rsidR="00256839" w:rsidRPr="00062A3B" w:rsidRDefault="00256839" w:rsidP="00FA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A két referencia forgatókönyv</w:t>
      </w:r>
      <w:r w:rsidRPr="00062A3B">
        <w:rPr>
          <w:rFonts w:ascii="Times New Roman" w:hAnsi="Times New Roman" w:cs="Times New Roman"/>
          <w:i/>
          <w:noProof/>
          <w:sz w:val="24"/>
          <w:szCs w:val="24"/>
        </w:rPr>
        <w:t>:</w:t>
      </w:r>
    </w:p>
    <w:p w:rsidR="00256839" w:rsidRPr="00606E15" w:rsidRDefault="00256839" w:rsidP="00FA10C4">
      <w:pPr>
        <w:pStyle w:val="Felsorols"/>
        <w:numPr>
          <w:ilvl w:val="1"/>
          <w:numId w:val="2"/>
        </w:numPr>
        <w:spacing w:before="0" w:after="0"/>
        <w:ind w:left="0" w:hanging="357"/>
        <w:rPr>
          <w:noProof/>
          <w:color w:val="000000"/>
        </w:rPr>
      </w:pPr>
      <w:r w:rsidRPr="00606E15">
        <w:rPr>
          <w:noProof/>
          <w:u w:val="single"/>
        </w:rPr>
        <w:t>Referencia-forgatókönyv</w:t>
      </w:r>
      <w:r w:rsidRPr="00606E15">
        <w:rPr>
          <w:noProof/>
        </w:rPr>
        <w:t>: a forgatókönyv a 2010 március</w:t>
      </w:r>
      <w:r>
        <w:rPr>
          <w:noProof/>
        </w:rPr>
        <w:t xml:space="preserve">áig elfogadott szakpolitikákat </w:t>
      </w:r>
      <w:r w:rsidRPr="00606E15">
        <w:rPr>
          <w:noProof/>
        </w:rPr>
        <w:t xml:space="preserve">foglalja magában. </w:t>
      </w:r>
    </w:p>
    <w:p w:rsidR="00256839" w:rsidRDefault="00256839" w:rsidP="00FA10C4">
      <w:pPr>
        <w:pStyle w:val="Felsorols"/>
        <w:numPr>
          <w:ilvl w:val="1"/>
          <w:numId w:val="2"/>
        </w:numPr>
        <w:spacing w:before="0" w:after="0"/>
        <w:ind w:left="0" w:hanging="357"/>
        <w:rPr>
          <w:noProof/>
        </w:rPr>
      </w:pPr>
      <w:r w:rsidRPr="00606E15">
        <w:rPr>
          <w:noProof/>
          <w:u w:val="single"/>
        </w:rPr>
        <w:t>Jelenlegi szakpolitikai kezdeményezések (CPI):</w:t>
      </w:r>
      <w:r w:rsidRPr="00606E15">
        <w:rPr>
          <w:noProof/>
          <w:color w:val="000000"/>
        </w:rPr>
        <w:t xml:space="preserve"> </w:t>
      </w:r>
      <w:r w:rsidRPr="00606E15">
        <w:rPr>
          <w:noProof/>
        </w:rPr>
        <w:t>Ez a forgatókönyv</w:t>
      </w:r>
      <w:r>
        <w:rPr>
          <w:noProof/>
        </w:rPr>
        <w:t xml:space="preserve"> aktualizálja az előzőt (például </w:t>
      </w:r>
      <w:r w:rsidRPr="00606E15">
        <w:rPr>
          <w:noProof/>
        </w:rPr>
        <w:t>a fukushimai eseményeket követően elfogadott intézkedésekkel, az Energia 2</w:t>
      </w:r>
      <w:r>
        <w:rPr>
          <w:noProof/>
        </w:rPr>
        <w:t>020 stratégiában javasoltakkal)</w:t>
      </w:r>
      <w:r w:rsidRPr="00606E15">
        <w:rPr>
          <w:noProof/>
        </w:rPr>
        <w:t>.</w:t>
      </w:r>
    </w:p>
    <w:p w:rsidR="00256839" w:rsidRPr="00413ED5" w:rsidRDefault="00256839" w:rsidP="00FA1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E1314A">
        <w:rPr>
          <w:rFonts w:ascii="Times New Roman" w:hAnsi="Times New Roman" w:cs="Times New Roman"/>
          <w:i/>
          <w:noProof/>
          <w:sz w:val="24"/>
          <w:szCs w:val="24"/>
        </w:rPr>
        <w:t>Dekarbonizációs forgatókönyvek (a 2050-es célértékek 2030-ra visszaszámolva):</w:t>
      </w:r>
    </w:p>
    <w:p w:rsidR="00256839" w:rsidRPr="00606E15" w:rsidRDefault="00256839" w:rsidP="00FA10C4">
      <w:pPr>
        <w:pStyle w:val="Felsorols"/>
        <w:numPr>
          <w:ilvl w:val="1"/>
          <w:numId w:val="2"/>
        </w:numPr>
        <w:spacing w:before="0" w:after="0"/>
        <w:ind w:left="0" w:hanging="357"/>
        <w:rPr>
          <w:noProof/>
        </w:rPr>
      </w:pPr>
      <w:r w:rsidRPr="00606E15">
        <w:rPr>
          <w:noProof/>
          <w:u w:val="single"/>
        </w:rPr>
        <w:t>Magas energiahatékonyság:</w:t>
      </w:r>
      <w:r w:rsidRPr="00606E15">
        <w:rPr>
          <w:noProof/>
        </w:rPr>
        <w:t xml:space="preserve"> különösen n</w:t>
      </w:r>
      <w:r>
        <w:rPr>
          <w:noProof/>
        </w:rPr>
        <w:t>agy mértékű energiatakarékosság</w:t>
      </w:r>
      <w:r w:rsidRPr="00606E15">
        <w:rPr>
          <w:noProof/>
        </w:rPr>
        <w:t xml:space="preserve">. </w:t>
      </w:r>
    </w:p>
    <w:p w:rsidR="00256839" w:rsidRPr="00606E15" w:rsidRDefault="00256839" w:rsidP="00FA10C4">
      <w:pPr>
        <w:pStyle w:val="Felsorols"/>
        <w:numPr>
          <w:ilvl w:val="1"/>
          <w:numId w:val="2"/>
        </w:numPr>
        <w:tabs>
          <w:tab w:val="num" w:pos="360"/>
        </w:tabs>
        <w:spacing w:before="0" w:after="0"/>
        <w:ind w:left="0" w:hanging="357"/>
        <w:rPr>
          <w:noProof/>
        </w:rPr>
      </w:pPr>
      <w:r w:rsidRPr="00606E15">
        <w:rPr>
          <w:noProof/>
          <w:u w:val="single"/>
        </w:rPr>
        <w:t>Diverzifikált ellátási technológiák:</w:t>
      </w:r>
      <w:r w:rsidRPr="00606E15">
        <w:rPr>
          <w:noProof/>
        </w:rPr>
        <w:t xml:space="preserve"> nincs előnyben részesített technológia; valamennyi energiaforrás piaci alapon versenyezhet, egyedi</w:t>
      </w:r>
      <w:r>
        <w:rPr>
          <w:noProof/>
        </w:rPr>
        <w:t xml:space="preserve"> támogatási intézkedések nélkül</w:t>
      </w:r>
      <w:r w:rsidRPr="00606E15">
        <w:rPr>
          <w:noProof/>
        </w:rPr>
        <w:t>.</w:t>
      </w:r>
    </w:p>
    <w:p w:rsidR="00256839" w:rsidRPr="00606E15" w:rsidRDefault="00256839" w:rsidP="00FA10C4">
      <w:pPr>
        <w:pStyle w:val="Felsorols"/>
        <w:numPr>
          <w:ilvl w:val="1"/>
          <w:numId w:val="2"/>
        </w:numPr>
        <w:tabs>
          <w:tab w:val="num" w:pos="360"/>
        </w:tabs>
        <w:spacing w:before="0" w:after="0"/>
        <w:ind w:left="0" w:hanging="357"/>
        <w:rPr>
          <w:noProof/>
        </w:rPr>
      </w:pPr>
      <w:r w:rsidRPr="00606E15">
        <w:rPr>
          <w:noProof/>
          <w:u w:val="single"/>
        </w:rPr>
        <w:t>A megújuló energiaforrások magas részaránya:</w:t>
      </w:r>
      <w:r w:rsidRPr="00606E15">
        <w:rPr>
          <w:noProof/>
        </w:rPr>
        <w:t xml:space="preserve"> a megújuló energiaforrásokra vonatkozó szilárd támogatási intézkedések nyomán a teljes bruttó energiafogyasztáson belül igen magas lesz a megújuló ener</w:t>
      </w:r>
      <w:r>
        <w:rPr>
          <w:noProof/>
        </w:rPr>
        <w:t>giaforrások aránya</w:t>
      </w:r>
      <w:r w:rsidRPr="00606E15">
        <w:rPr>
          <w:noProof/>
        </w:rPr>
        <w:t>.</w:t>
      </w:r>
    </w:p>
    <w:p w:rsidR="00256839" w:rsidRPr="00606E15" w:rsidRDefault="00256839" w:rsidP="00FA10C4">
      <w:pPr>
        <w:pStyle w:val="Felsorols"/>
        <w:numPr>
          <w:ilvl w:val="1"/>
          <w:numId w:val="2"/>
        </w:numPr>
        <w:tabs>
          <w:tab w:val="num" w:pos="360"/>
        </w:tabs>
        <w:spacing w:before="0" w:after="0"/>
        <w:ind w:left="0" w:hanging="357"/>
        <w:rPr>
          <w:noProof/>
        </w:rPr>
      </w:pPr>
      <w:r w:rsidRPr="00606E15">
        <w:rPr>
          <w:noProof/>
          <w:u w:val="single"/>
        </w:rPr>
        <w:t>A CCS késleltetett bevezetése:</w:t>
      </w:r>
      <w:r w:rsidRPr="00606E15">
        <w:rPr>
          <w:noProof/>
        </w:rPr>
        <w:t xml:space="preserve"> a diverzifikált ellátási technológiák forgatókönyvéhez hasonló, azonban a CCS késleltetett bevezetését feltételezi, ami a nukleáris e</w:t>
      </w:r>
      <w:r>
        <w:rPr>
          <w:noProof/>
        </w:rPr>
        <w:t>nergia magasabb arányához vezet</w:t>
      </w:r>
      <w:r w:rsidRPr="00606E15">
        <w:rPr>
          <w:noProof/>
        </w:rPr>
        <w:t>.</w:t>
      </w:r>
    </w:p>
    <w:p w:rsidR="00256839" w:rsidRPr="00606E15" w:rsidRDefault="00256839" w:rsidP="00FA10C4">
      <w:pPr>
        <w:pStyle w:val="Felsorols"/>
        <w:numPr>
          <w:ilvl w:val="1"/>
          <w:numId w:val="2"/>
        </w:numPr>
        <w:tabs>
          <w:tab w:val="num" w:pos="360"/>
        </w:tabs>
        <w:spacing w:before="0" w:after="0"/>
        <w:ind w:left="0" w:hanging="357"/>
        <w:rPr>
          <w:noProof/>
        </w:rPr>
      </w:pPr>
      <w:r w:rsidRPr="00606E15">
        <w:rPr>
          <w:noProof/>
          <w:u w:val="single"/>
        </w:rPr>
        <w:t>A nukleáris energia alacsony részaránya:</w:t>
      </w:r>
      <w:r w:rsidRPr="00606E15">
        <w:rPr>
          <w:noProof/>
        </w:rPr>
        <w:t xml:space="preserve"> a diverzifikált ellátási technológiák forgatókönyvéhez hasonló, azonban nem épülnek új atomerőművek, ami a CCS szélesebb körben történő e</w:t>
      </w:r>
      <w:r>
        <w:rPr>
          <w:noProof/>
        </w:rPr>
        <w:t>lterjedtségéhez vezet</w:t>
      </w:r>
      <w:r w:rsidRPr="00606E15">
        <w:rPr>
          <w:noProof/>
        </w:rPr>
        <w:t>.</w:t>
      </w:r>
    </w:p>
    <w:p w:rsidR="00256839" w:rsidRDefault="00256839" w:rsidP="00FA1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929">
        <w:rPr>
          <w:rFonts w:ascii="Times New Roman" w:hAnsi="Times New Roman" w:cs="Times New Roman"/>
          <w:b/>
          <w:sz w:val="24"/>
          <w:szCs w:val="24"/>
        </w:rPr>
        <w:t>A jelenleg nem piacérett, jelentős támogatás-igényű</w:t>
      </w:r>
      <w:r>
        <w:rPr>
          <w:rFonts w:ascii="Times New Roman" w:hAnsi="Times New Roman" w:cs="Times New Roman"/>
          <w:b/>
          <w:sz w:val="24"/>
          <w:szCs w:val="24"/>
        </w:rPr>
        <w:t>, egy technológiát előnyben részesítő</w:t>
      </w:r>
      <w:r w:rsidRPr="00FB6929">
        <w:rPr>
          <w:rFonts w:ascii="Times New Roman" w:hAnsi="Times New Roman" w:cs="Times New Roman"/>
          <w:b/>
          <w:sz w:val="24"/>
          <w:szCs w:val="24"/>
        </w:rPr>
        <w:t xml:space="preserve"> elérési utak helyett hazánk a „Diverzifikált ellátási technológiák” forgatókönyv</w:t>
      </w:r>
      <w:r>
        <w:rPr>
          <w:rFonts w:ascii="Times New Roman" w:hAnsi="Times New Roman" w:cs="Times New Roman"/>
          <w:b/>
          <w:sz w:val="24"/>
          <w:szCs w:val="24"/>
        </w:rPr>
        <w:t xml:space="preserve"> elvét</w:t>
      </w:r>
      <w:r w:rsidRPr="00FB6929">
        <w:rPr>
          <w:rFonts w:ascii="Times New Roman" w:hAnsi="Times New Roman" w:cs="Times New Roman"/>
          <w:b/>
          <w:sz w:val="24"/>
          <w:szCs w:val="24"/>
        </w:rPr>
        <w:t xml:space="preserve"> preferál</w:t>
      </w:r>
      <w:r>
        <w:rPr>
          <w:rFonts w:ascii="Times New Roman" w:hAnsi="Times New Roman" w:cs="Times New Roman"/>
          <w:b/>
          <w:sz w:val="24"/>
          <w:szCs w:val="24"/>
        </w:rPr>
        <w:t xml:space="preserve">ja, azaz </w:t>
      </w:r>
      <w:r w:rsidR="003A283A">
        <w:rPr>
          <w:rFonts w:ascii="Times New Roman" w:hAnsi="Times New Roman" w:cs="Times New Roman"/>
          <w:b/>
          <w:sz w:val="24"/>
          <w:szCs w:val="24"/>
        </w:rPr>
        <w:t>egyetlen</w:t>
      </w:r>
      <w:r>
        <w:rPr>
          <w:rFonts w:ascii="Times New Roman" w:hAnsi="Times New Roman" w:cs="Times New Roman"/>
          <w:b/>
          <w:sz w:val="24"/>
          <w:szCs w:val="24"/>
        </w:rPr>
        <w:t xml:space="preserve"> technológi</w:t>
      </w:r>
      <w:r w:rsidR="003A283A">
        <w:rPr>
          <w:rFonts w:ascii="Times New Roman" w:hAnsi="Times New Roman" w:cs="Times New Roman"/>
          <w:b/>
          <w:sz w:val="24"/>
          <w:szCs w:val="24"/>
        </w:rPr>
        <w:t xml:space="preserve">a esélyét sem akarunk csökkenteni a fenntartható irányba való továbbfejlesztés tekintetében adminisztratív </w:t>
      </w:r>
      <w:r w:rsidR="005964C8">
        <w:rPr>
          <w:rFonts w:ascii="Times New Roman" w:hAnsi="Times New Roman" w:cs="Times New Roman"/>
          <w:b/>
          <w:sz w:val="24"/>
          <w:szCs w:val="24"/>
        </w:rPr>
        <w:t>eszközökkel</w:t>
      </w:r>
      <w:r w:rsidRPr="00FB692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Az EU-ban az energiamix megválasztása tagállami hatáskörbe tartozik, ezért az Európai Bizottság célja a dokumentummal csak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dekarbonizáció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lehetőség</w:t>
      </w:r>
      <w:r w:rsidR="003A283A">
        <w:rPr>
          <w:rFonts w:ascii="Times New Roman" w:hAnsi="Times New Roman" w:cs="Times New Roman"/>
          <w:b/>
          <w:sz w:val="24"/>
          <w:szCs w:val="24"/>
        </w:rPr>
        <w:t>einek</w:t>
      </w:r>
      <w:r>
        <w:rPr>
          <w:rFonts w:ascii="Times New Roman" w:hAnsi="Times New Roman" w:cs="Times New Roman"/>
          <w:b/>
          <w:sz w:val="24"/>
          <w:szCs w:val="24"/>
        </w:rPr>
        <w:t xml:space="preserve"> nem teljes körű bemutatása. </w:t>
      </w:r>
      <w:r w:rsidR="003A283A">
        <w:rPr>
          <w:rFonts w:ascii="Times New Roman" w:hAnsi="Times New Roman" w:cs="Times New Roman"/>
          <w:b/>
          <w:sz w:val="24"/>
          <w:szCs w:val="24"/>
        </w:rPr>
        <w:t xml:space="preserve">Hazánk álláspontja ebben a kérdésben, hogy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dekarbonizációt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tagállami lehetőség</w:t>
      </w:r>
      <w:r w:rsidR="003A283A">
        <w:rPr>
          <w:rFonts w:ascii="Times New Roman" w:hAnsi="Times New Roman" w:cs="Times New Roman"/>
          <w:b/>
          <w:sz w:val="24"/>
          <w:szCs w:val="24"/>
        </w:rPr>
        <w:t>ek</w:t>
      </w:r>
      <w:r>
        <w:rPr>
          <w:rFonts w:ascii="Times New Roman" w:hAnsi="Times New Roman" w:cs="Times New Roman"/>
          <w:b/>
          <w:sz w:val="24"/>
          <w:szCs w:val="24"/>
        </w:rPr>
        <w:t xml:space="preserve"> és preferenciák alapján kell megvalósítani, ami </w:t>
      </w:r>
      <w:r w:rsidR="003A283A">
        <w:rPr>
          <w:rFonts w:ascii="Times New Roman" w:hAnsi="Times New Roman" w:cs="Times New Roman"/>
          <w:b/>
          <w:sz w:val="24"/>
          <w:szCs w:val="24"/>
        </w:rPr>
        <w:t xml:space="preserve">akár </w:t>
      </w:r>
      <w:r>
        <w:rPr>
          <w:rFonts w:ascii="Times New Roman" w:hAnsi="Times New Roman" w:cs="Times New Roman"/>
          <w:b/>
          <w:sz w:val="24"/>
          <w:szCs w:val="24"/>
        </w:rPr>
        <w:t xml:space="preserve">jelentős eltéréseket </w:t>
      </w:r>
      <w:r w:rsidR="003A283A">
        <w:rPr>
          <w:rFonts w:ascii="Times New Roman" w:hAnsi="Times New Roman" w:cs="Times New Roman"/>
          <w:b/>
          <w:sz w:val="24"/>
          <w:szCs w:val="24"/>
        </w:rPr>
        <w:t xml:space="preserve">is </w:t>
      </w:r>
      <w:r>
        <w:rPr>
          <w:rFonts w:ascii="Times New Roman" w:hAnsi="Times New Roman" w:cs="Times New Roman"/>
          <w:b/>
          <w:sz w:val="24"/>
          <w:szCs w:val="24"/>
        </w:rPr>
        <w:t>eredményezhet a dokumentumban felvázolt energia</w:t>
      </w:r>
      <w:r w:rsidR="00EA68F3">
        <w:rPr>
          <w:rFonts w:ascii="Times New Roman" w:hAnsi="Times New Roman" w:cs="Times New Roman"/>
          <w:b/>
          <w:sz w:val="24"/>
          <w:szCs w:val="24"/>
        </w:rPr>
        <w:t>mixektől.</w:t>
      </w:r>
    </w:p>
    <w:p w:rsidR="0006712E" w:rsidRDefault="00067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12E" w:rsidRPr="0006712E" w:rsidRDefault="0006712E" w:rsidP="0006712E">
      <w:pPr>
        <w:spacing w:after="0" w:line="240" w:lineRule="auto"/>
        <w:jc w:val="center"/>
        <w:rPr>
          <w:rFonts w:asciiTheme="majorHAnsi" w:hAnsiTheme="majorHAnsi" w:cs="Times New Roman"/>
          <w:b/>
          <w:color w:val="365F91" w:themeColor="accent1" w:themeShade="BF"/>
          <w:sz w:val="32"/>
          <w:szCs w:val="32"/>
        </w:rPr>
      </w:pPr>
      <w:r w:rsidRPr="0006712E">
        <w:rPr>
          <w:rFonts w:asciiTheme="majorHAnsi" w:hAnsiTheme="majorHAnsi" w:cs="Times New Roman"/>
          <w:b/>
          <w:color w:val="365F91" w:themeColor="accent1" w:themeShade="BF"/>
          <w:sz w:val="32"/>
          <w:szCs w:val="32"/>
        </w:rPr>
        <w:lastRenderedPageBreak/>
        <w:t>KÉRDŐÍV</w:t>
      </w:r>
    </w:p>
    <w:p w:rsidR="007F53C5" w:rsidRDefault="007F53C5" w:rsidP="007F53C5">
      <w:pPr>
        <w:jc w:val="center"/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Times New Roman"/>
          <w:b/>
          <w:color w:val="365F91" w:themeColor="accent1" w:themeShade="BF"/>
          <w:sz w:val="24"/>
          <w:szCs w:val="24"/>
        </w:rPr>
        <w:t>(ha releváns, egyéni és testületi válaszokat is várunk)</w:t>
      </w:r>
    </w:p>
    <w:p w:rsidR="0055304B" w:rsidRPr="000F05E4" w:rsidRDefault="0055304B" w:rsidP="0055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04B" w:rsidRDefault="0055304B" w:rsidP="0055304B">
      <w:pPr>
        <w:pStyle w:val="Listaszerbekezds"/>
        <w:numPr>
          <w:ilvl w:val="0"/>
          <w:numId w:val="12"/>
        </w:numPr>
        <w:spacing w:after="200" w:line="276" w:lineRule="auto"/>
        <w:jc w:val="both"/>
      </w:pPr>
      <w:r>
        <w:t xml:space="preserve">Egyetért-e </w:t>
      </w:r>
      <w:proofErr w:type="gramStart"/>
      <w:r>
        <w:t>a</w:t>
      </w:r>
      <w:proofErr w:type="gramEnd"/>
      <w:r>
        <w:t xml:space="preserve"> </w:t>
      </w:r>
      <w:proofErr w:type="spellStart"/>
      <w:r>
        <w:t>EFCsT</w:t>
      </w:r>
      <w:proofErr w:type="spellEnd"/>
      <w:r>
        <w:t xml:space="preserve"> koncepciójával, célrendszerével és a felvázolt helyzetképpel? Ha nem, vagy csak részben, mit tenne hozzá, vagy mit hagyna ki belőle?</w:t>
      </w:r>
    </w:p>
    <w:p w:rsidR="0055304B" w:rsidRPr="000F05E4" w:rsidRDefault="0055304B" w:rsidP="0055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04B" w:rsidRDefault="0055304B" w:rsidP="0055304B">
      <w:pPr>
        <w:pStyle w:val="Listaszerbekezds"/>
        <w:numPr>
          <w:ilvl w:val="0"/>
          <w:numId w:val="12"/>
        </w:numPr>
        <w:spacing w:after="200" w:line="276" w:lineRule="auto"/>
        <w:jc w:val="both"/>
      </w:pPr>
      <w:r>
        <w:t xml:space="preserve">Miben látja a hazai </w:t>
      </w:r>
      <w:proofErr w:type="spellStart"/>
      <w:r>
        <w:t>erőművi</w:t>
      </w:r>
      <w:proofErr w:type="spellEnd"/>
      <w:r>
        <w:t xml:space="preserve"> kapacitás struktúra problémáit, milyen irányba fejlesztené tovább a hazai igények, irányelvek (pl. </w:t>
      </w:r>
      <w:proofErr w:type="spellStart"/>
      <w:r w:rsidR="0068263D">
        <w:t>NCsT</w:t>
      </w:r>
      <w:proofErr w:type="spellEnd"/>
      <w:r w:rsidR="0068263D">
        <w:t xml:space="preserve">, </w:t>
      </w:r>
      <w:r>
        <w:t xml:space="preserve">Nemzeti Energiastratégia) és az EU ajánlások tükrében (lásd energiaügyi és </w:t>
      </w:r>
      <w:proofErr w:type="spellStart"/>
      <w:r>
        <w:t>dekarbonizációs</w:t>
      </w:r>
      <w:proofErr w:type="spellEnd"/>
      <w:r>
        <w:t xml:space="preserve"> útitervek)?</w:t>
      </w:r>
    </w:p>
    <w:p w:rsidR="0055304B" w:rsidRDefault="0055304B" w:rsidP="0055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04B" w:rsidRDefault="0055304B" w:rsidP="0055304B">
      <w:pPr>
        <w:pStyle w:val="Listaszerbekezds"/>
        <w:numPr>
          <w:ilvl w:val="0"/>
          <w:numId w:val="12"/>
        </w:numPr>
        <w:spacing w:after="200" w:line="276" w:lineRule="auto"/>
        <w:jc w:val="both"/>
      </w:pPr>
      <w:r>
        <w:t xml:space="preserve">Milyen jellemzői lennének egy ideális hazai </w:t>
      </w:r>
      <w:proofErr w:type="spellStart"/>
      <w:r>
        <w:t>erőművi</w:t>
      </w:r>
      <w:proofErr w:type="spellEnd"/>
      <w:r>
        <w:t xml:space="preserve"> kapacitás struktúrának 2030-ban? Mi</w:t>
      </w:r>
      <w:r w:rsidR="0068263D">
        <w:t>lyen</w:t>
      </w:r>
      <w:r>
        <w:t xml:space="preserve"> lenne az ön által elérendő energia- és </w:t>
      </w:r>
      <w:proofErr w:type="spellStart"/>
      <w:r>
        <w:t>erőművi</w:t>
      </w:r>
      <w:proofErr w:type="spellEnd"/>
      <w:r>
        <w:t xml:space="preserve"> mix?</w:t>
      </w:r>
    </w:p>
    <w:p w:rsidR="0055304B" w:rsidRDefault="0055304B" w:rsidP="0055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04B" w:rsidRDefault="0055304B" w:rsidP="0055304B">
      <w:pPr>
        <w:pStyle w:val="Listaszerbekezds"/>
        <w:numPr>
          <w:ilvl w:val="0"/>
          <w:numId w:val="12"/>
        </w:numPr>
        <w:spacing w:after="200" w:line="276" w:lineRule="auto"/>
        <w:jc w:val="both"/>
      </w:pPr>
      <w:r>
        <w:t>Milyen konkrét javaslatai lennének az ön r</w:t>
      </w:r>
      <w:r w:rsidR="0068263D">
        <w:t xml:space="preserve">égióját, lakóhelyét érintő </w:t>
      </w:r>
      <w:proofErr w:type="gramStart"/>
      <w:r w:rsidR="0068263D">
        <w:t>kapacitás</w:t>
      </w:r>
      <w:r>
        <w:t xml:space="preserve"> fejle</w:t>
      </w:r>
      <w:r w:rsidR="0068263D">
        <w:t>sztésekre</w:t>
      </w:r>
      <w:proofErr w:type="gramEnd"/>
      <w:r w:rsidR="0068263D">
        <w:t>, a megújuló energiaforrások</w:t>
      </w:r>
      <w:r>
        <w:t xml:space="preserve"> bevonására?</w:t>
      </w:r>
    </w:p>
    <w:p w:rsidR="0055304B" w:rsidRDefault="0055304B" w:rsidP="0055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04B" w:rsidRDefault="0055304B" w:rsidP="0055304B">
      <w:pPr>
        <w:pStyle w:val="Listaszerbekezds"/>
        <w:numPr>
          <w:ilvl w:val="0"/>
          <w:numId w:val="12"/>
        </w:numPr>
        <w:spacing w:after="200" w:line="276" w:lineRule="auto"/>
        <w:jc w:val="both"/>
      </w:pPr>
      <w:r>
        <w:t>Milyen rövid-, közép- és</w:t>
      </w:r>
      <w:r w:rsidR="0068263D">
        <w:t xml:space="preserve"> </w:t>
      </w:r>
      <w:proofErr w:type="spellStart"/>
      <w:r w:rsidR="0068263D">
        <w:t>hosszútávú</w:t>
      </w:r>
      <w:proofErr w:type="spellEnd"/>
      <w:r w:rsidR="0068263D">
        <w:t xml:space="preserve"> intézkedéseket javasol a kormányzat helyében egy ideális kapacitás struktúra megvalósítása érdekében? </w:t>
      </w:r>
      <w:r>
        <w:t>(rövidtáv – 2015-ig, középtáv – 2020-ig, hosszútáv – 2030-ig)</w:t>
      </w:r>
    </w:p>
    <w:p w:rsidR="0055304B" w:rsidRDefault="0055304B" w:rsidP="00553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304B" w:rsidRDefault="0055304B" w:rsidP="0055304B">
      <w:pPr>
        <w:pStyle w:val="Listaszerbekezds"/>
        <w:numPr>
          <w:ilvl w:val="0"/>
          <w:numId w:val="12"/>
        </w:numPr>
        <w:spacing w:after="200" w:line="276" w:lineRule="auto"/>
        <w:jc w:val="both"/>
      </w:pPr>
      <w:r>
        <w:t>Milyen új technológiai fejlesztéseket, találmányokat javasolna kiprób</w:t>
      </w:r>
      <w:r w:rsidR="0068263D">
        <w:t>álni kapacitásfejlesztési cél</w:t>
      </w:r>
      <w:r>
        <w:t>ból?</w:t>
      </w:r>
    </w:p>
    <w:p w:rsidR="006E1963" w:rsidRPr="001C7198" w:rsidRDefault="006E1963" w:rsidP="006E1963">
      <w:pPr>
        <w:jc w:val="both"/>
      </w:pPr>
    </w:p>
    <w:p w:rsidR="006E1963" w:rsidRDefault="006E1963" w:rsidP="006E1963">
      <w:pPr>
        <w:pStyle w:val="Listaszerbekezds"/>
        <w:numPr>
          <w:ilvl w:val="0"/>
          <w:numId w:val="12"/>
        </w:numPr>
        <w:spacing w:after="200" w:line="276" w:lineRule="auto"/>
        <w:jc w:val="both"/>
      </w:pPr>
      <w:r>
        <w:t xml:space="preserve">Milyen indikátorokat, mérőszámokat javasolna a kapacitásfejlesztési folyamatok ellenőrzésére, a beépített kapacitások hatékonyságának </w:t>
      </w:r>
      <w:proofErr w:type="spellStart"/>
      <w:r>
        <w:t>monitoringjához</w:t>
      </w:r>
      <w:proofErr w:type="spellEnd"/>
      <w:r>
        <w:t>?</w:t>
      </w:r>
    </w:p>
    <w:p w:rsidR="006E1963" w:rsidRDefault="006E1963" w:rsidP="006E1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63" w:rsidRDefault="006E1963" w:rsidP="006E1963">
      <w:pPr>
        <w:pStyle w:val="Listaszerbekezds"/>
        <w:numPr>
          <w:ilvl w:val="0"/>
          <w:numId w:val="12"/>
        </w:numPr>
        <w:spacing w:after="200" w:line="276" w:lineRule="auto"/>
        <w:jc w:val="both"/>
      </w:pPr>
      <w:r>
        <w:t>Van-e bármilyen egyéb észrevétele a tárgyhoz kapcsolódóan?</w:t>
      </w:r>
    </w:p>
    <w:p w:rsidR="0006712E" w:rsidRPr="0006712E" w:rsidRDefault="0006712E" w:rsidP="00FA1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12E" w:rsidRPr="0006712E" w:rsidSect="007C21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81" w:rsidRDefault="00A34281" w:rsidP="000934FA">
      <w:pPr>
        <w:spacing w:after="0" w:line="240" w:lineRule="auto"/>
      </w:pPr>
      <w:r>
        <w:separator/>
      </w:r>
    </w:p>
  </w:endnote>
  <w:endnote w:type="continuationSeparator" w:id="0">
    <w:p w:rsidR="00A34281" w:rsidRDefault="00A34281" w:rsidP="0009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81" w:rsidRDefault="00A34281" w:rsidP="000934FA">
      <w:pPr>
        <w:spacing w:after="0" w:line="240" w:lineRule="auto"/>
      </w:pPr>
      <w:r>
        <w:separator/>
      </w:r>
    </w:p>
  </w:footnote>
  <w:footnote w:type="continuationSeparator" w:id="0">
    <w:p w:rsidR="00A34281" w:rsidRDefault="00A34281" w:rsidP="0009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8407"/>
      <w:docPartObj>
        <w:docPartGallery w:val="Page Numbers (Top of Page)"/>
        <w:docPartUnique/>
      </w:docPartObj>
    </w:sdtPr>
    <w:sdtContent>
      <w:p w:rsidR="000A5939" w:rsidRDefault="000F2C34">
        <w:pPr>
          <w:pStyle w:val="lfej"/>
          <w:jc w:val="center"/>
        </w:pPr>
        <w:fldSimple w:instr=" PAGE   \* MERGEFORMAT ">
          <w:r w:rsidR="006E1963">
            <w:rPr>
              <w:noProof/>
            </w:rPr>
            <w:t>5</w:t>
          </w:r>
        </w:fldSimple>
      </w:p>
    </w:sdtContent>
  </w:sdt>
  <w:p w:rsidR="000A5939" w:rsidRDefault="000A593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EBE"/>
    <w:multiLevelType w:val="hybridMultilevel"/>
    <w:tmpl w:val="1054E18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52071"/>
    <w:multiLevelType w:val="hybridMultilevel"/>
    <w:tmpl w:val="5BEE1F0E"/>
    <w:lvl w:ilvl="0" w:tplc="59C4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1A62"/>
    <w:multiLevelType w:val="hybridMultilevel"/>
    <w:tmpl w:val="93A6BA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47BC0"/>
    <w:multiLevelType w:val="hybridMultilevel"/>
    <w:tmpl w:val="ADB45D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14CB"/>
    <w:multiLevelType w:val="hybridMultilevel"/>
    <w:tmpl w:val="D1CAE5FC"/>
    <w:lvl w:ilvl="0" w:tplc="B82609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01195"/>
    <w:multiLevelType w:val="hybridMultilevel"/>
    <w:tmpl w:val="789EBB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A83F37"/>
    <w:multiLevelType w:val="hybridMultilevel"/>
    <w:tmpl w:val="DB72279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221F7"/>
    <w:multiLevelType w:val="hybridMultilevel"/>
    <w:tmpl w:val="271CE844"/>
    <w:lvl w:ilvl="0" w:tplc="F5C41F8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A32F7"/>
    <w:multiLevelType w:val="hybridMultilevel"/>
    <w:tmpl w:val="3D10E9A6"/>
    <w:lvl w:ilvl="0" w:tplc="65B2D2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B5511"/>
    <w:multiLevelType w:val="singleLevel"/>
    <w:tmpl w:val="74A09970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790B7BC9"/>
    <w:multiLevelType w:val="hybridMultilevel"/>
    <w:tmpl w:val="F9FE38DC"/>
    <w:lvl w:ilvl="0" w:tplc="B51210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F7C2E"/>
    <w:multiLevelType w:val="hybridMultilevel"/>
    <w:tmpl w:val="97A87E8E"/>
    <w:lvl w:ilvl="0" w:tplc="84FC1846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693"/>
    <w:rsid w:val="00022832"/>
    <w:rsid w:val="00062A3B"/>
    <w:rsid w:val="0006712E"/>
    <w:rsid w:val="00074447"/>
    <w:rsid w:val="000934FA"/>
    <w:rsid w:val="000A5939"/>
    <w:rsid w:val="000F2C34"/>
    <w:rsid w:val="0010084F"/>
    <w:rsid w:val="001406F7"/>
    <w:rsid w:val="00182E4B"/>
    <w:rsid w:val="00243C46"/>
    <w:rsid w:val="00256839"/>
    <w:rsid w:val="00281ABE"/>
    <w:rsid w:val="002A3B03"/>
    <w:rsid w:val="002B3AAF"/>
    <w:rsid w:val="002B3BA2"/>
    <w:rsid w:val="002C1489"/>
    <w:rsid w:val="002C3E4E"/>
    <w:rsid w:val="002D1AAE"/>
    <w:rsid w:val="002D44F0"/>
    <w:rsid w:val="002E0DC0"/>
    <w:rsid w:val="00344B5D"/>
    <w:rsid w:val="00350807"/>
    <w:rsid w:val="00372EF1"/>
    <w:rsid w:val="00397CAA"/>
    <w:rsid w:val="003A283A"/>
    <w:rsid w:val="003A729A"/>
    <w:rsid w:val="003E7106"/>
    <w:rsid w:val="00413ED5"/>
    <w:rsid w:val="004A796A"/>
    <w:rsid w:val="004C556F"/>
    <w:rsid w:val="0053352E"/>
    <w:rsid w:val="00551FE6"/>
    <w:rsid w:val="0055304B"/>
    <w:rsid w:val="0057141F"/>
    <w:rsid w:val="005964C8"/>
    <w:rsid w:val="005976EE"/>
    <w:rsid w:val="005E1D93"/>
    <w:rsid w:val="00606E15"/>
    <w:rsid w:val="00653048"/>
    <w:rsid w:val="00661378"/>
    <w:rsid w:val="0068263D"/>
    <w:rsid w:val="006A45EB"/>
    <w:rsid w:val="006A69AF"/>
    <w:rsid w:val="006A7B30"/>
    <w:rsid w:val="006B29EC"/>
    <w:rsid w:val="006B5AD5"/>
    <w:rsid w:val="006E1963"/>
    <w:rsid w:val="006F37D4"/>
    <w:rsid w:val="006F499F"/>
    <w:rsid w:val="00716623"/>
    <w:rsid w:val="007C2121"/>
    <w:rsid w:val="007D0D10"/>
    <w:rsid w:val="007F1DE8"/>
    <w:rsid w:val="007F53C5"/>
    <w:rsid w:val="0083469E"/>
    <w:rsid w:val="00877354"/>
    <w:rsid w:val="00895B0B"/>
    <w:rsid w:val="008A42E7"/>
    <w:rsid w:val="008B21EC"/>
    <w:rsid w:val="008C38EF"/>
    <w:rsid w:val="008D3CFD"/>
    <w:rsid w:val="008F494F"/>
    <w:rsid w:val="008F6BD5"/>
    <w:rsid w:val="009518B8"/>
    <w:rsid w:val="00955EB2"/>
    <w:rsid w:val="00956B6F"/>
    <w:rsid w:val="00967119"/>
    <w:rsid w:val="009A6311"/>
    <w:rsid w:val="009E52D6"/>
    <w:rsid w:val="00A0303F"/>
    <w:rsid w:val="00A34281"/>
    <w:rsid w:val="00A5305E"/>
    <w:rsid w:val="00A66E65"/>
    <w:rsid w:val="00A714D9"/>
    <w:rsid w:val="00A856AA"/>
    <w:rsid w:val="00AA0055"/>
    <w:rsid w:val="00AC17F0"/>
    <w:rsid w:val="00AE16C4"/>
    <w:rsid w:val="00AF2A60"/>
    <w:rsid w:val="00B002F4"/>
    <w:rsid w:val="00B20385"/>
    <w:rsid w:val="00B40D45"/>
    <w:rsid w:val="00B51885"/>
    <w:rsid w:val="00B61568"/>
    <w:rsid w:val="00B76207"/>
    <w:rsid w:val="00B90DA2"/>
    <w:rsid w:val="00B92B6A"/>
    <w:rsid w:val="00B92FCE"/>
    <w:rsid w:val="00B97925"/>
    <w:rsid w:val="00BB75C8"/>
    <w:rsid w:val="00BC23BE"/>
    <w:rsid w:val="00BD459B"/>
    <w:rsid w:val="00BD6455"/>
    <w:rsid w:val="00C16C1B"/>
    <w:rsid w:val="00C47526"/>
    <w:rsid w:val="00C81823"/>
    <w:rsid w:val="00C87829"/>
    <w:rsid w:val="00C87953"/>
    <w:rsid w:val="00CA2E30"/>
    <w:rsid w:val="00CB2D74"/>
    <w:rsid w:val="00CE05DA"/>
    <w:rsid w:val="00CE13D1"/>
    <w:rsid w:val="00CF6E87"/>
    <w:rsid w:val="00D55731"/>
    <w:rsid w:val="00D71DE6"/>
    <w:rsid w:val="00D808A1"/>
    <w:rsid w:val="00D851F9"/>
    <w:rsid w:val="00D87D2D"/>
    <w:rsid w:val="00DB7427"/>
    <w:rsid w:val="00DC0E72"/>
    <w:rsid w:val="00DE2FB1"/>
    <w:rsid w:val="00E116C0"/>
    <w:rsid w:val="00E1314A"/>
    <w:rsid w:val="00E140B4"/>
    <w:rsid w:val="00E222D7"/>
    <w:rsid w:val="00E26DD8"/>
    <w:rsid w:val="00E6086D"/>
    <w:rsid w:val="00E8011A"/>
    <w:rsid w:val="00E85201"/>
    <w:rsid w:val="00EA68F3"/>
    <w:rsid w:val="00F01693"/>
    <w:rsid w:val="00F01CA1"/>
    <w:rsid w:val="00F22CBA"/>
    <w:rsid w:val="00F353C1"/>
    <w:rsid w:val="00F50B71"/>
    <w:rsid w:val="00F65B62"/>
    <w:rsid w:val="00F83457"/>
    <w:rsid w:val="00FA10C4"/>
    <w:rsid w:val="00FB6929"/>
    <w:rsid w:val="00FC03E7"/>
    <w:rsid w:val="00FC2388"/>
    <w:rsid w:val="00FD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1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rsid w:val="00F01693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Listaszerbekezds">
    <w:name w:val="List Paragraph"/>
    <w:basedOn w:val="Norml"/>
    <w:uiPriority w:val="34"/>
    <w:qFormat/>
    <w:rsid w:val="00F016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9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4FA"/>
  </w:style>
  <w:style w:type="paragraph" w:styleId="llb">
    <w:name w:val="footer"/>
    <w:basedOn w:val="Norml"/>
    <w:link w:val="llbChar"/>
    <w:uiPriority w:val="99"/>
    <w:semiHidden/>
    <w:unhideWhenUsed/>
    <w:rsid w:val="0009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934FA"/>
  </w:style>
  <w:style w:type="paragraph" w:styleId="Buborkszveg">
    <w:name w:val="Balloon Text"/>
    <w:basedOn w:val="Norml"/>
    <w:link w:val="BuborkszvegChar"/>
    <w:uiPriority w:val="99"/>
    <w:semiHidden/>
    <w:unhideWhenUsed/>
    <w:rsid w:val="0018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E4B"/>
    <w:rPr>
      <w:rFonts w:ascii="Tahoma" w:hAnsi="Tahoma" w:cs="Tahoma"/>
      <w:sz w:val="16"/>
      <w:szCs w:val="16"/>
    </w:rPr>
  </w:style>
  <w:style w:type="paragraph" w:customStyle="1" w:styleId="tablecaption">
    <w:name w:val="table_caption"/>
    <w:basedOn w:val="Norml"/>
    <w:link w:val="tablecaptionChar"/>
    <w:qFormat/>
    <w:rsid w:val="00F353C1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tablecaptionChar">
    <w:name w:val="table_caption Char"/>
    <w:basedOn w:val="Bekezdsalapbettpusa"/>
    <w:link w:val="tablecaption"/>
    <w:rsid w:val="00F353C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3A729A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A729A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3A729A"/>
    <w:rPr>
      <w:shd w:val="clear" w:color="auto" w:fill="auto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557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57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57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57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5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C238B-84D6-4C7B-BA5D-3151BF2C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1857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ToldiO</dc:creator>
  <cp:lastModifiedBy>ToldiO</cp:lastModifiedBy>
  <cp:revision>6</cp:revision>
  <cp:lastPrinted>2012-04-05T10:57:00Z</cp:lastPrinted>
  <dcterms:created xsi:type="dcterms:W3CDTF">2012-04-25T09:54:00Z</dcterms:created>
  <dcterms:modified xsi:type="dcterms:W3CDTF">2012-05-02T09:19:00Z</dcterms:modified>
</cp:coreProperties>
</file>